
<file path=[Content_Types].xml><?xml version="1.0" encoding="utf-8"?>
<Types xmlns="http://schemas.openxmlformats.org/package/2006/content-types">
  <Default ContentType="image/png" Extension="png"/>
  <Default ContentType="application/vnd.openxmlformats-package.relationships+xml" Extension="rels"/>
  <Default ContentType="application/xml" Extension="xml"/>
  <Override ContentType="application/vnd.openxmlformats-officedocument.extended-properties+xml" PartName="/docProps/app.xml"/>
  <Override ContentType="application/vnd.openxmlformats-package.core-properties+xml" PartName="/docProps/core.xml"/>
  <Override ContentType="application/vnd.openxmlformats-officedocument.custom-properties+xml" PartName="/docProps/custom.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Types>
</file>

<file path=_rels/.rels><?xml version="1.0" encoding="UTF-8" standalone="yes"?><Relationships xmlns="http://schemas.openxmlformats.org/package/2006/relationships"><Relationship Id="rId1" Target="docProps/app.xml" Type="http://schemas.openxmlformats.org/officeDocument/2006/relationships/extended-properties"/><Relationship Id="rId2" Target="docProps/core.xml" Type="http://schemas.openxmlformats.org/package/2006/relationships/metadata/core-properties"/><Relationship Id="rId3" Target="docProps/custom.xml" Type="http://schemas.openxmlformats.org/officeDocument/2006/relationships/custom-properties"/><Relationship Id="rId4" Target="word/document.xml" Type="http://schemas.openxmlformats.org/officeDocument/2006/relationships/officeDocument"/></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null3"/>
      </w:pPr>
      <w:r>
        <w:br/>
      </w:r>
      <w:r>
        <w:br/>
      </w:r>
      <w:r>
        <w:br/>
      </w:r>
      <w:r>
        <w:br/>
      </w:r>
      <w:r>
        <w:br/>
      </w:r>
    </w:p>
    <w:p>
      <w:pPr>
        <w:pStyle w:val="null3"/>
        <w:jc w:val="center"/>
        <w:outlineLvl w:val="0"/>
      </w:pPr>
      <w:r>
        <w:rPr>
          <w:sz w:val="48"/>
          <w:b/>
        </w:rPr>
        <w:t>广东省政府采购</w:t>
      </w:r>
    </w:p>
    <w:p>
      <w:pPr>
        <w:pStyle w:val="null3"/>
      </w:pPr>
      <w:r>
        <w:rPr/>
        <w:t>　</w:t>
      </w:r>
    </w:p>
    <w:p>
      <w:pPr>
        <w:pStyle w:val="null3"/>
      </w:pPr>
      <w:r>
        <w:rPr/>
        <w:t>　</w:t>
      </w:r>
    </w:p>
    <w:p>
      <w:pPr>
        <w:pStyle w:val="null3"/>
      </w:pPr>
      <w:r>
        <w:rPr/>
        <w:t>　</w:t>
      </w:r>
    </w:p>
    <w:p>
      <w:pPr>
        <w:pStyle w:val="null3"/>
        <w:jc w:val="center"/>
        <w:outlineLvl w:val="0"/>
      </w:pPr>
      <w:r>
        <w:rPr>
          <w:sz w:val="48"/>
          <w:b/>
        </w:rPr>
        <w:t xml:space="preserve"> 竞 争 性 磋 商 文 件</w:t>
      </w:r>
    </w:p>
    <w:p>
      <w:pPr>
        <w:pStyle w:val="null3"/>
      </w:pPr>
      <w:r>
        <w:rPr/>
        <w:t>　</w:t>
      </w:r>
    </w:p>
    <w:p>
      <w:pPr>
        <w:pStyle w:val="null3"/>
      </w:pPr>
      <w:r>
        <w:rPr/>
        <w:t>　</w:t>
      </w:r>
    </w:p>
    <w:p>
      <w:pPr>
        <w:pStyle w:val="null3"/>
      </w:pPr>
      <w:r>
        <w:rPr/>
        <w:t>　</w:t>
      </w:r>
    </w:p>
    <w:p>
      <w:pPr>
        <w:pStyle w:val="null3"/>
      </w:pPr>
      <w:r>
        <w:rPr/>
        <w:t>　</w:t>
      </w:r>
    </w:p>
    <w:p>
      <w:pPr>
        <w:pStyle w:val="null3"/>
      </w:pPr>
      <w:r>
        <w:rPr/>
        <w:t>　</w:t>
      </w:r>
    </w:p>
    <w:p>
      <w:pPr>
        <w:pStyle w:val="null3"/>
      </w:pPr>
      <w:r>
        <w:rPr/>
        <w:t>　</w:t>
      </w:r>
    </w:p>
    <w:p>
      <w:pPr>
        <w:pStyle w:val="null3"/>
      </w:pPr>
      <w:r>
        <w:rPr/>
        <w:t>　</w:t>
      </w:r>
    </w:p>
    <w:p>
      <w:pPr>
        <w:pStyle w:val="null3"/>
        <w:jc w:val="center"/>
        <w:outlineLvl w:val="3"/>
      </w:pPr>
      <w:r>
        <w:rPr>
          <w:sz w:val="24"/>
          <w:b/>
        </w:rPr>
        <w:t>采购计划编号：</w:t>
      </w:r>
      <w:r>
        <w:rPr>
          <w:sz w:val="24"/>
          <w:b/>
        </w:rPr>
        <w:t>442000003-2026-00081</w:t>
      </w:r>
    </w:p>
    <w:p>
      <w:pPr>
        <w:pStyle w:val="null3"/>
        <w:jc w:val="center"/>
        <w:outlineLvl w:val="3"/>
      </w:pPr>
      <w:r>
        <w:rPr>
          <w:sz w:val="24"/>
          <w:b/>
        </w:rPr>
        <w:t>采购项目编号：</w:t>
      </w:r>
      <w:r>
        <w:rPr>
          <w:sz w:val="24"/>
          <w:b/>
        </w:rPr>
        <w:t>ZSJD25ZC0118</w:t>
      </w:r>
    </w:p>
    <w:p>
      <w:pPr>
        <w:pStyle w:val="null3"/>
        <w:jc w:val="center"/>
        <w:outlineLvl w:val="3"/>
      </w:pPr>
      <w:r>
        <w:rPr>
          <w:sz w:val="24"/>
          <w:b/>
        </w:rPr>
        <w:t>项目名称：</w:t>
      </w:r>
      <w:r>
        <w:rPr>
          <w:sz w:val="24"/>
          <w:b/>
        </w:rPr>
        <w:t>民众街道民众分局视频监控运维升级改造项目</w:t>
      </w:r>
    </w:p>
    <w:p>
      <w:pPr>
        <w:pStyle w:val="null3"/>
        <w:jc w:val="center"/>
        <w:outlineLvl w:val="3"/>
      </w:pPr>
      <w:r>
        <w:rPr>
          <w:sz w:val="24"/>
          <w:b/>
        </w:rPr>
        <w:t>采购人：</w:t>
      </w:r>
      <w:r>
        <w:rPr>
          <w:sz w:val="24"/>
          <w:b/>
        </w:rPr>
        <w:t>中山市公安局民众分局</w:t>
      </w:r>
    </w:p>
    <w:p>
      <w:pPr>
        <w:pStyle w:val="null3"/>
        <w:jc w:val="center"/>
        <w:outlineLvl w:val="3"/>
      </w:pPr>
      <w:r>
        <w:rPr>
          <w:sz w:val="24"/>
          <w:b/>
        </w:rPr>
        <w:t>采购代理机构：</w:t>
      </w:r>
      <w:r>
        <w:rPr>
          <w:sz w:val="24"/>
          <w:b/>
        </w:rPr>
        <w:t>广东省建东工程监理有限公司中山分公司</w:t>
      </w:r>
    </w:p>
    <w:p>
      <w:pPr>
        <w:pStyle w:val="null3"/>
        <w:ind w:firstLine="480"/>
      </w:pPr>
      <w:r>
        <w:rPr/>
        <w:t xml:space="preserve">  </w:t>
      </w:r>
    </w:p>
    <w:p>
      <w:pPr>
        <w:pStyle w:val="null3"/>
        <w:jc w:val="center"/>
        <w:outlineLvl w:val="1"/>
      </w:pPr>
      <w:r>
        <w:rPr>
          <w:sz w:val="36"/>
          <w:b/>
        </w:rPr>
        <w:t>第一章 磋商邀请</w:t>
      </w:r>
    </w:p>
    <w:p>
      <w:pPr>
        <w:pStyle w:val="null3"/>
        <w:ind w:firstLine="480"/>
      </w:pPr>
      <w:r>
        <w:rPr/>
        <w:t>广东省建东工程监理有限公司中山分公司</w:t>
      </w:r>
      <w:r>
        <w:rPr/>
        <w:t>受</w:t>
      </w:r>
      <w:r>
        <w:rPr/>
        <w:t>中山市公安局民众分局</w:t>
      </w:r>
      <w:r>
        <w:rPr/>
        <w:t>的委托，采用</w:t>
      </w:r>
      <w:r>
        <w:rPr/>
        <w:t>竞争性磋商</w:t>
      </w:r>
      <w:r>
        <w:rPr/>
        <w:t>方式组织采购</w:t>
      </w:r>
      <w:r>
        <w:rPr/>
        <w:t>民众街道民众分局视频监控运维升级改造项目</w:t>
      </w:r>
      <w:r>
        <w:rPr/>
        <w:t>。欢迎符合资格条件的供应商参加。</w:t>
      </w:r>
    </w:p>
    <w:p>
      <w:pPr>
        <w:pStyle w:val="null3"/>
        <w:outlineLvl w:val="2"/>
      </w:pPr>
      <w:r>
        <w:rPr>
          <w:sz w:val="28"/>
          <w:b/>
        </w:rPr>
        <w:t>一.项目概述</w:t>
      </w:r>
    </w:p>
    <w:p>
      <w:pPr>
        <w:pStyle w:val="null3"/>
        <w:outlineLvl w:val="3"/>
      </w:pPr>
      <w:r>
        <w:rPr>
          <w:sz w:val="24"/>
          <w:b/>
        </w:rPr>
        <w:t>1.名称与编号</w:t>
      </w:r>
    </w:p>
    <w:p>
      <w:pPr>
        <w:pStyle w:val="null3"/>
        <w:ind w:firstLine="480"/>
      </w:pPr>
      <w:r>
        <w:rPr/>
        <w:t>采购项目名称：</w:t>
      </w:r>
      <w:r>
        <w:rPr/>
        <w:t>民众街道民众分局视频监控运维升级改造项目</w:t>
      </w:r>
    </w:p>
    <w:p>
      <w:pPr>
        <w:pStyle w:val="null3"/>
        <w:ind w:firstLine="480"/>
      </w:pPr>
      <w:r>
        <w:rPr/>
        <w:t>采购计划编号：</w:t>
      </w:r>
      <w:r>
        <w:rPr/>
        <w:t>442000003-2026-00081</w:t>
      </w:r>
    </w:p>
    <w:p>
      <w:pPr>
        <w:pStyle w:val="null3"/>
        <w:ind w:firstLine="480"/>
      </w:pPr>
      <w:r>
        <w:rPr/>
        <w:t>采购项目编号：</w:t>
      </w:r>
      <w:r>
        <w:rPr/>
        <w:t>ZSJD25ZC0118</w:t>
      </w:r>
    </w:p>
    <w:p>
      <w:pPr>
        <w:pStyle w:val="null3"/>
        <w:ind w:firstLine="480"/>
      </w:pPr>
      <w:r>
        <w:rPr/>
        <w:t>采购方式：</w:t>
      </w:r>
      <w:r>
        <w:rPr/>
        <w:t>竞争性磋商</w:t>
      </w:r>
    </w:p>
    <w:p>
      <w:pPr>
        <w:pStyle w:val="null3"/>
        <w:ind w:firstLine="480"/>
      </w:pPr>
      <w:r>
        <w:rPr/>
        <w:t>预算金额：</w:t>
      </w:r>
      <w:r>
        <w:rPr/>
        <w:t>3,604,786.71</w:t>
      </w:r>
      <w:r>
        <w:rPr/>
        <w:t>元</w:t>
      </w:r>
    </w:p>
    <w:p>
      <w:pPr>
        <w:pStyle w:val="null3"/>
        <w:outlineLvl w:val="3"/>
      </w:pPr>
      <w:r>
        <w:rPr>
          <w:sz w:val="24"/>
          <w:b/>
        </w:rPr>
        <w:t>2.项目内容及需求情况（采购项目技术规格、参数及要求）</w:t>
      </w:r>
    </w:p>
    <w:p>
      <w:pPr>
        <w:pStyle w:val="null3"/>
      </w:pPr>
      <w:r>
        <w:rPr/>
        <w:t>采购包1(民众街道民众分局视频监控运维升级改造项目):</w:t>
      </w:r>
    </w:p>
    <w:p>
      <w:pPr>
        <w:pStyle w:val="null3"/>
      </w:pPr>
      <w:r>
        <w:rPr/>
        <w:t>采购包预算金额：3,604,786.71元</w:t>
      </w:r>
    </w:p>
    <w:tbl>
      <w:tblPr>
        <w:tblW w:w="0" w:type="auto"/>
        <w:tblBorders>
          <w:top w:val="single"/>
          <w:left w:val="single"/>
          <w:bottom w:val="single"/>
          <w:right w:val="single"/>
          <w:insideH w:val="single"/>
          <w:insideV w:val="single"/>
        </w:tblBorders>
      </w:tblPr>
      <w:tblGrid>
        <w:gridCol w:w="1187"/>
        <w:gridCol w:w="1424"/>
        <w:gridCol w:w="2136"/>
        <w:gridCol w:w="1187"/>
        <w:gridCol w:w="1187"/>
        <w:gridCol w:w="1187"/>
      </w:tblGrid>
      <w:tr>
        <w:tc>
          <w:tcPr>
            <w:tcW w:type="dxa" w:w="1187"/>
          </w:tcPr>
          <w:p>
            <w:pPr>
              <w:pStyle w:val="null3"/>
            </w:pPr>
            <w:r>
              <w:rPr/>
              <w:t>品目号</w:t>
            </w:r>
          </w:p>
        </w:tc>
        <w:tc>
          <w:tcPr>
            <w:tcW w:type="dxa" w:w="1424"/>
          </w:tcPr>
          <w:p>
            <w:pPr>
              <w:pStyle w:val="null3"/>
            </w:pPr>
            <w:r>
              <w:rPr/>
              <w:t>品目名称</w:t>
            </w:r>
          </w:p>
        </w:tc>
        <w:tc>
          <w:tcPr>
            <w:tcW w:type="dxa" w:w="2136"/>
          </w:tcPr>
          <w:p>
            <w:pPr>
              <w:pStyle w:val="null3"/>
            </w:pPr>
            <w:r>
              <w:rPr/>
              <w:t>采购标的</w:t>
            </w:r>
          </w:p>
        </w:tc>
        <w:tc>
          <w:tcPr>
            <w:tcW w:type="dxa" w:w="1187"/>
          </w:tcPr>
          <w:p>
            <w:pPr>
              <w:pStyle w:val="null3"/>
            </w:pPr>
            <w:r>
              <w:rPr/>
              <w:t>数量（单位）</w:t>
            </w:r>
          </w:p>
        </w:tc>
        <w:tc>
          <w:tcPr>
            <w:tcW w:type="dxa" w:w="1187"/>
          </w:tcPr>
          <w:p>
            <w:pPr>
              <w:pStyle w:val="null3"/>
            </w:pPr>
            <w:r>
              <w:rPr/>
              <w:t>技术规格、参数及要求</w:t>
            </w:r>
          </w:p>
        </w:tc>
        <w:tc>
          <w:tcPr>
            <w:tcW w:type="dxa" w:w="1187"/>
          </w:tcPr>
          <w:p>
            <w:pPr>
              <w:pStyle w:val="null3"/>
            </w:pPr>
            <w:r>
              <w:rPr/>
              <w:t>是否允许进口产品</w:t>
            </w:r>
          </w:p>
        </w:tc>
      </w:tr>
      <w:tr>
        <w:tc>
          <w:tcPr>
            <w:tcW w:type="dxa" w:w="1187"/>
          </w:tcPr>
          <w:p>
            <w:pPr>
              <w:pStyle w:val="null3"/>
            </w:pPr>
            <w:r>
              <w:rPr/>
              <w:t>1-1</w:t>
            </w:r>
          </w:p>
        </w:tc>
        <w:tc>
          <w:tcPr>
            <w:tcW w:type="dxa" w:w="1424"/>
          </w:tcPr>
          <w:p>
            <w:pPr>
              <w:pStyle w:val="null3"/>
            </w:pPr>
            <w:r>
              <w:rPr/>
              <w:t>其他通信设备</w:t>
            </w:r>
          </w:p>
        </w:tc>
        <w:tc>
          <w:tcPr>
            <w:tcW w:type="dxa" w:w="2136"/>
          </w:tcPr>
          <w:p>
            <w:pPr>
              <w:pStyle w:val="null3"/>
            </w:pPr>
            <w:r>
              <w:rPr/>
              <w:t>民众街道民众分局视频监控运维升级改造项目</w:t>
            </w:r>
          </w:p>
        </w:tc>
        <w:tc>
          <w:tcPr>
            <w:tcW w:type="dxa" w:w="1187"/>
          </w:tcPr>
          <w:p>
            <w:pPr>
              <w:pStyle w:val="null3"/>
            </w:pPr>
            <w:r>
              <w:rPr/>
              <w:t>1(批)</w:t>
            </w:r>
          </w:p>
        </w:tc>
        <w:tc>
          <w:tcPr>
            <w:tcW w:type="dxa" w:w="1187"/>
          </w:tcPr>
          <w:p>
            <w:pPr>
              <w:pStyle w:val="null3"/>
            </w:pPr>
            <w:r>
              <w:rPr/>
              <w:t>详见第二章</w:t>
            </w:r>
          </w:p>
        </w:tc>
        <w:tc>
          <w:tcPr>
            <w:tcW w:type="dxa" w:w="1187"/>
          </w:tcPr>
          <w:p>
            <w:pPr>
              <w:pStyle w:val="null3"/>
            </w:pPr>
            <w:r>
              <w:rPr/>
              <w:t>否</w:t>
            </w:r>
          </w:p>
        </w:tc>
      </w:tr>
      <w:tr>
        <w:tc>
          <w:tcPr>
            <w:tcW w:type="dxa" w:w="1187"/>
          </w:tcPr>
          <w:p>
            <w:pPr>
              <w:pStyle w:val="null3"/>
            </w:pPr>
            <w:r>
              <w:rPr/>
              <w:t>1-2</w:t>
            </w:r>
          </w:p>
        </w:tc>
        <w:tc>
          <w:tcPr>
            <w:tcW w:type="dxa" w:w="1424"/>
          </w:tcPr>
          <w:p>
            <w:pPr>
              <w:pStyle w:val="null3"/>
            </w:pPr>
            <w:r>
              <w:rPr/>
              <w:t>其他通信设备</w:t>
            </w:r>
          </w:p>
        </w:tc>
        <w:tc>
          <w:tcPr>
            <w:tcW w:type="dxa" w:w="2136"/>
          </w:tcPr>
          <w:p>
            <w:pPr>
              <w:pStyle w:val="null3"/>
            </w:pPr>
            <w:r>
              <w:rPr/>
              <w:t>400w高清智能球型摄像机</w:t>
            </w:r>
          </w:p>
        </w:tc>
        <w:tc>
          <w:tcPr>
            <w:tcW w:type="dxa" w:w="1187"/>
          </w:tcPr>
          <w:p>
            <w:pPr>
              <w:pStyle w:val="null3"/>
            </w:pPr>
            <w:r>
              <w:rPr/>
              <w:t>86(台)</w:t>
            </w:r>
          </w:p>
        </w:tc>
        <w:tc>
          <w:tcPr>
            <w:tcW w:type="dxa" w:w="1187"/>
          </w:tcPr>
          <w:p>
            <w:pPr>
              <w:pStyle w:val="null3"/>
            </w:pPr>
            <w:r>
              <w:rPr/>
              <w:t>详见第二章</w:t>
            </w:r>
          </w:p>
        </w:tc>
        <w:tc>
          <w:tcPr>
            <w:tcW w:type="dxa" w:w="1187"/>
          </w:tcPr>
          <w:p>
            <w:pPr>
              <w:pStyle w:val="null3"/>
            </w:pPr>
            <w:r>
              <w:rPr/>
              <w:t>否</w:t>
            </w:r>
          </w:p>
        </w:tc>
      </w:tr>
    </w:tbl>
    <w:p>
      <w:pPr>
        <w:pStyle w:val="null3"/>
      </w:pPr>
      <w:r>
        <w:rPr/>
        <w:t>本采购包不接受联合体响应</w:t>
      </w:r>
    </w:p>
    <w:p>
      <w:pPr>
        <w:pStyle w:val="null3"/>
      </w:pPr>
      <w:r>
        <w:rPr/>
        <w:t>合同分包：不允许合同分包</w:t>
      </w:r>
    </w:p>
    <w:p>
      <w:pPr>
        <w:pStyle w:val="null3"/>
      </w:pPr>
      <w:r>
        <w:rPr/>
        <w:t>合同履行期限：自合同签订之日起730个日历天。</w:t>
      </w:r>
    </w:p>
    <w:p>
      <w:pPr>
        <w:pStyle w:val="null3"/>
        <w:outlineLvl w:val="2"/>
      </w:pPr>
      <w:r>
        <w:rPr>
          <w:sz w:val="28"/>
          <w:b/>
        </w:rPr>
        <w:t>二.供应商的资格要求</w:t>
      </w:r>
    </w:p>
    <w:p>
      <w:pPr>
        <w:pStyle w:val="null3"/>
        <w:outlineLvl w:val="3"/>
      </w:pPr>
      <w:r>
        <w:rPr>
          <w:sz w:val="24"/>
          <w:b/>
        </w:rPr>
        <w:t>1.供应商应具备《中华人民共和国政府采购法》第二十二条规定的条件，提供下列材料：</w:t>
      </w:r>
    </w:p>
    <w:p>
      <w:pPr>
        <w:pStyle w:val="null3"/>
      </w:pPr>
      <w:r>
        <w:rPr/>
        <w:t>1）具有独立承担民事责任的能力：在中华人民共和国境内注册的法人或其他组织或自然人， 投标（响应）时提交有效的营业执照（或事业法人登记证或身份证等相关证明） 副本复印件。分支机构投标的，须提供总公司和分公司营业执照副本复印件，总公司出具给分支机构的授权书。</w:t>
      </w:r>
    </w:p>
    <w:p>
      <w:pPr>
        <w:pStyle w:val="null3"/>
      </w:pPr>
      <w:r>
        <w:rPr/>
        <w:t>2）有依法缴纳税收和社会保障资金的良好记录：供应商提供《政府采购供应商资格信用承诺函》（格式详见公告附件）或提供投标截止日前6个月内任意1个月依法缴纳税收和社会保障资金的相关材料。如依法免税或不需要缴纳社会保障资金的，提供相应证明材料。（若供应商同时提供承诺函和证明材料的，资格审查时以证明材料为准）</w:t>
      </w:r>
    </w:p>
    <w:p>
      <w:pPr>
        <w:pStyle w:val="null3"/>
      </w:pPr>
      <w:r>
        <w:rPr/>
        <w:t>3）具有良好的商业信誉和健全的财务会计制度：供应商提供《政府采购供应商资格信用承诺函》（格式详见公告附件）或提供2023年度财务状况报告或2024年以来任何一个月的财务报表或基本开户行出具的资信证明）。（若供应商同时提供承诺函和证明材料的，资格审查时以证明材料为准）</w:t>
      </w:r>
    </w:p>
    <w:p>
      <w:pPr>
        <w:pStyle w:val="null3"/>
      </w:pPr>
      <w:r>
        <w:rPr/>
        <w:t>4）履行合同所必需的设备和专业技术能力：提供承诺函（格式自拟，承诺内容包括但不限于：“我方具有履行本项目合同所必需的设备及专业技术能力。”）或提供《设备和专业技术能力情况表》（格式自拟）。</w:t>
      </w:r>
    </w:p>
    <w:p>
      <w:pPr>
        <w:pStyle w:val="null3"/>
      </w:pPr>
      <w:r>
        <w:rPr/>
        <w:t>5）参加采购活动前3年内，在经营活动中没有重大违法记录：供应商提供《政府采购供应商资格信用承诺函》（格式详见公告附件）或参照响应承诺函相关承诺格式内容。重大违法记录，是指供应商因违法经营受到刑事处罚或者责令停产停业、吊销许可证或者执照、较大数额罚款等行政处罚。（根据财库〔2022〕3号文，“较大数额罚款”认定为200万元以上的罚款，法律、行政法规以及国务院有关部门明确规定相关领域“较大数额罚款”标准高于200万元的，从其规定）。</w:t>
      </w:r>
    </w:p>
    <w:p>
      <w:pPr>
        <w:pStyle w:val="null3"/>
        <w:outlineLvl w:val="3"/>
      </w:pPr>
      <w:r>
        <w:rPr>
          <w:sz w:val="24"/>
          <w:b/>
        </w:rPr>
        <w:t>2.落实政府采购政策需满足的资格要求：</w:t>
      </w:r>
    </w:p>
    <w:p>
      <w:pPr>
        <w:pStyle w:val="null3"/>
        <w:jc w:val="left"/>
      </w:pPr>
      <w:r>
        <w:rPr/>
        <w:t>采购包1（民众街道民众分局视频监控运维升级改造项目）：</w:t>
      </w:r>
      <w:r>
        <w:rPr/>
        <w:t>本项目不属于专门面向中小企业采购的项目。</w:t>
      </w:r>
    </w:p>
    <w:p>
      <w:pPr>
        <w:pStyle w:val="null3"/>
        <w:outlineLvl w:val="3"/>
      </w:pPr>
      <w:r>
        <w:rPr>
          <w:sz w:val="24"/>
          <w:b/>
        </w:rPr>
        <w:t>3.本项目特定的资格要求：</w:t>
      </w:r>
    </w:p>
    <w:p>
      <w:pPr>
        <w:pStyle w:val="null3"/>
      </w:pPr>
      <w:r>
        <w:rPr/>
        <w:t>采购包1（民众街道民众分局视频监控运维升级改造项目）：</w:t>
      </w:r>
    </w:p>
    <w:p>
      <w:pPr>
        <w:pStyle w:val="null3"/>
      </w:pPr>
      <w:r>
        <w:rPr/>
        <w:t>1)供应商未被列入“信用中国”网站(www.creditchina.gov.cn)“记录失信被执行人或重大税收违法案件当事人名单”记录名单；不处于中国政府采购网(www.ccgp.gov.cn)“政府采购严重违法失信行为信息记录”中的禁止参加政府采购活动期间。（以采购代理机构于投标截止时间当天在“信用中国”网站（www.creditchina.gov.cn） 及中国政府采购网（http://www.ccgp.gov.cn/） 查询结果为准，如相关失信记录已失效，供应商需提供相关证明资料。</w:t>
      </w:r>
    </w:p>
    <w:p>
      <w:pPr>
        <w:pStyle w:val="null3"/>
      </w:pPr>
      <w:r>
        <w:rPr/>
        <w:t>2)单位负责人为同一人或者存在直接控股、 管理关系的不同供应商，不得同时参加本采购项目（或采购包） 投标（响应）。 为本项目提供整体设计、 规范编制或者项目管理、 监理、 检测等服务的供应商， 不得再参与本项目投标（响应）。 响应承诺函相关承诺要求内容。</w:t>
      </w:r>
    </w:p>
    <w:p>
      <w:pPr>
        <w:pStyle w:val="null3"/>
      </w:pPr>
      <w:r>
        <w:rPr/>
        <w:t>3)本项目不接受联合体响应。</w:t>
      </w:r>
    </w:p>
    <w:p>
      <w:pPr>
        <w:pStyle w:val="null3"/>
        <w:outlineLvl w:val="2"/>
      </w:pPr>
      <w:r>
        <w:rPr>
          <w:sz w:val="28"/>
          <w:b/>
        </w:rPr>
        <w:t>三.获取磋商文件</w:t>
      </w:r>
    </w:p>
    <w:p>
      <w:pPr>
        <w:pStyle w:val="null3"/>
        <w:ind w:firstLine="480"/>
      </w:pPr>
      <w:r>
        <w:rPr/>
        <w:t>时间：详见磋商公告及其变更公告（如有）</w:t>
      </w:r>
    </w:p>
    <w:p>
      <w:pPr>
        <w:pStyle w:val="null3"/>
        <w:ind w:firstLine="480"/>
      </w:pPr>
      <w:r>
        <w:rPr/>
        <w:t>地点：详见磋商公告及其变更公告（如有）</w:t>
      </w:r>
    </w:p>
    <w:p>
      <w:pPr>
        <w:pStyle w:val="null3"/>
        <w:ind w:firstLine="480"/>
      </w:pPr>
      <w:r>
        <w:rPr/>
        <w:t xml:space="preserve"> 获取方式：在线获取。供应商应从广东省政府采购网（https://gdgpo.czt.gd.gov.cn/）上广东政府采购智慧云平台（以下简称“云平台”）的政府采购供应商入口进行免费注册后，登录进入项目采购系统完成项目响应登记并在线获取磋商文件（未按上述方式获取磋商文件的供应商，其响应资格将被视为无效）。</w:t>
      </w:r>
    </w:p>
    <w:p>
      <w:pPr>
        <w:pStyle w:val="null3"/>
        <w:ind w:firstLine="480"/>
      </w:pPr>
      <w:r>
        <w:rPr/>
        <w:t>售价：免费</w:t>
      </w:r>
    </w:p>
    <w:p>
      <w:pPr>
        <w:pStyle w:val="null3"/>
        <w:outlineLvl w:val="2"/>
      </w:pPr>
      <w:r>
        <w:rPr>
          <w:sz w:val="28"/>
          <w:b/>
        </w:rPr>
        <w:t>四.提交响应文件截止时间、开启时间和地点：</w:t>
      </w:r>
    </w:p>
    <w:p>
      <w:pPr>
        <w:pStyle w:val="null3"/>
        <w:ind w:firstLine="480"/>
      </w:pPr>
      <w:r>
        <w:rPr/>
        <w:t>提交响应文件截止时间和开启时间：详见磋商公告及其变更公告（如有）（自响应文件开始发出之日起至响应供应商提交响应文件截止之日止，不得少于10个日历日）</w:t>
      </w:r>
    </w:p>
    <w:p>
      <w:pPr>
        <w:pStyle w:val="null3"/>
        <w:ind w:firstLine="480"/>
      </w:pPr>
      <w:r>
        <w:rPr/>
        <w:t>地点：详见磋商公告及其变更公告（如有）</w:t>
      </w:r>
    </w:p>
    <w:p>
      <w:pPr>
        <w:pStyle w:val="null3"/>
        <w:outlineLvl w:val="2"/>
      </w:pPr>
      <w:r>
        <w:rPr>
          <w:sz w:val="28"/>
          <w:b/>
        </w:rPr>
        <w:t>五.公告期限、发布公告的媒介：</w:t>
      </w:r>
    </w:p>
    <w:p>
      <w:pPr>
        <w:pStyle w:val="null3"/>
        <w:ind w:firstLine="480"/>
      </w:pPr>
      <w:r>
        <w:rPr/>
        <w:t>1、公告期限：自本公告发布之日起不得少于3个工作日。</w:t>
      </w:r>
    </w:p>
    <w:p>
      <w:pPr>
        <w:pStyle w:val="null3"/>
        <w:ind w:firstLine="480"/>
      </w:pPr>
      <w:r>
        <w:rPr/>
        <w:t>2、发布公告的媒介：中国政府采购网(www.ccgp.gov.cn)，广东省政府采购网(https://gdgpo.czt.gd.gov.cn/)；</w:t>
      </w:r>
      <w:r>
        <w:rPr/>
        <w:t>广东省公共资源交易平台（https://ygp.gdzwfw.gov.cn/#/442000/index），采购代理机构网站 （http://www.gdjdjl.com/）。</w:t>
      </w:r>
    </w:p>
    <w:p>
      <w:pPr>
        <w:pStyle w:val="null3"/>
        <w:outlineLvl w:val="2"/>
      </w:pPr>
      <w:r>
        <w:rPr>
          <w:sz w:val="28"/>
          <w:b/>
        </w:rPr>
        <w:t>六.本项目联系方式：</w:t>
      </w:r>
    </w:p>
    <w:p>
      <w:pPr>
        <w:pStyle w:val="null3"/>
        <w:outlineLvl w:val="3"/>
      </w:pPr>
      <w:r>
        <w:rPr>
          <w:sz w:val="24"/>
          <w:b/>
        </w:rPr>
        <w:t>1.采购人信息</w:t>
      </w:r>
    </w:p>
    <w:p>
      <w:pPr>
        <w:pStyle w:val="null3"/>
        <w:ind w:firstLine="480"/>
      </w:pPr>
      <w:r>
        <w:rPr/>
        <w:t>名称：</w:t>
      </w:r>
      <w:r>
        <w:rPr/>
        <w:t>中山市公安局民众分局</w:t>
      </w:r>
    </w:p>
    <w:p>
      <w:pPr>
        <w:pStyle w:val="null3"/>
        <w:ind w:firstLine="480"/>
      </w:pPr>
      <w:r>
        <w:rPr/>
        <w:t>地址：</w:t>
      </w:r>
      <w:r>
        <w:rPr/>
        <w:t>中山市民众街道民安路3号</w:t>
      </w:r>
    </w:p>
    <w:p>
      <w:pPr>
        <w:pStyle w:val="null3"/>
        <w:ind w:firstLine="480"/>
      </w:pPr>
      <w:r>
        <w:rPr/>
        <w:t>联系方式：</w:t>
      </w:r>
      <w:r>
        <w:rPr/>
        <w:t>0760-23185108</w:t>
      </w:r>
    </w:p>
    <w:p>
      <w:pPr>
        <w:pStyle w:val="null3"/>
        <w:outlineLvl w:val="3"/>
      </w:pPr>
      <w:r>
        <w:rPr>
          <w:sz w:val="24"/>
          <w:b/>
        </w:rPr>
        <w:t>2.采购代理机构信息</w:t>
      </w:r>
    </w:p>
    <w:p>
      <w:pPr>
        <w:pStyle w:val="null3"/>
        <w:ind w:firstLine="480"/>
      </w:pPr>
      <w:r>
        <w:rPr/>
        <w:t>名称：</w:t>
      </w:r>
      <w:r>
        <w:rPr/>
        <w:t>广东省建东工程监理有限公司中山分公司</w:t>
      </w:r>
    </w:p>
    <w:p>
      <w:pPr>
        <w:pStyle w:val="null3"/>
        <w:ind w:firstLine="480"/>
      </w:pPr>
      <w:r>
        <w:rPr/>
        <w:t xml:space="preserve"> 地址：</w:t>
      </w:r>
      <w:r>
        <w:rPr/>
        <w:t>中山市五桂山三合院16栋02单元102房</w:t>
      </w:r>
    </w:p>
    <w:p>
      <w:pPr>
        <w:pStyle w:val="null3"/>
        <w:ind w:firstLine="480"/>
      </w:pPr>
      <w:r>
        <w:rPr/>
        <w:t xml:space="preserve"> 联系方式：</w:t>
      </w:r>
      <w:r>
        <w:rPr/>
        <w:t>0760-88399895</w:t>
      </w:r>
    </w:p>
    <w:p>
      <w:pPr>
        <w:pStyle w:val="null3"/>
        <w:outlineLvl w:val="3"/>
      </w:pPr>
      <w:r>
        <w:rPr>
          <w:sz w:val="24"/>
          <w:b/>
        </w:rPr>
        <w:t xml:space="preserve"> 3.项目联系方式</w:t>
      </w:r>
    </w:p>
    <w:p>
      <w:pPr>
        <w:pStyle w:val="null3"/>
        <w:ind w:firstLine="480"/>
      </w:pPr>
      <w:r>
        <w:rPr/>
        <w:t xml:space="preserve"> 项目联系人：</w:t>
      </w:r>
      <w:r>
        <w:rPr/>
        <w:t>罗小姐</w:t>
      </w:r>
    </w:p>
    <w:p>
      <w:pPr>
        <w:pStyle w:val="null3"/>
        <w:ind w:firstLine="480"/>
      </w:pPr>
      <w:r>
        <w:rPr/>
        <w:t xml:space="preserve"> 电话：</w:t>
      </w:r>
      <w:r>
        <w:rPr/>
        <w:t>0760-88399895</w:t>
      </w:r>
    </w:p>
    <w:p>
      <w:pPr>
        <w:pStyle w:val="null3"/>
        <w:outlineLvl w:val="3"/>
      </w:pPr>
      <w:r>
        <w:rPr>
          <w:sz w:val="24"/>
          <w:b/>
        </w:rPr>
        <w:t xml:space="preserve"> 4.技术支持联系方式</w:t>
      </w:r>
    </w:p>
    <w:p>
      <w:pPr>
        <w:pStyle w:val="null3"/>
        <w:ind w:firstLine="480"/>
      </w:pPr>
      <w:r>
        <w:rPr/>
        <w:t>云平台联系方式：020-88696588</w:t>
      </w:r>
    </w:p>
    <w:p>
      <w:pPr>
        <w:pStyle w:val="null3"/>
        <w:ind w:firstLine="480"/>
      </w:pPr>
      <w:r>
        <w:rPr/>
        <w:t>开标评标服务专线：020-88696599</w:t>
      </w:r>
    </w:p>
    <w:p>
      <w:pPr>
        <w:pStyle w:val="null3"/>
      </w:pPr>
      <w:r>
        <w:rPr/>
        <w:t xml:space="preserve"> 采购代理机构：</w:t>
      </w:r>
      <w:r>
        <w:rPr/>
        <w:t>广东省建东工程监理有限公司中山分公司</w:t>
      </w:r>
    </w:p>
    <w:p>
      <w:pPr>
        <w:pStyle w:val="null3"/>
        <w:ind w:firstLine="480"/>
      </w:pPr>
      <w:r>
        <w:rPr/>
        <w:t xml:space="preserve">  </w:t>
      </w:r>
    </w:p>
    <w:p>
      <w:pPr>
        <w:pStyle w:val="null3"/>
        <w:jc w:val="center"/>
        <w:outlineLvl w:val="1"/>
      </w:pPr>
      <w:r>
        <w:rPr>
          <w:sz w:val="36"/>
          <w:b/>
        </w:rPr>
        <w:t>第二章 采购需求</w:t>
      </w:r>
    </w:p>
    <w:p>
      <w:pPr>
        <w:pStyle w:val="null3"/>
        <w:outlineLvl w:val="2"/>
      </w:pPr>
      <w:r>
        <w:rPr>
          <w:sz w:val="28"/>
          <w:b/>
        </w:rPr>
        <w:t>一、项目概况：</w:t>
      </w:r>
    </w:p>
    <w:p>
      <w:pPr>
        <w:pStyle w:val="null3"/>
      </w:pPr>
      <w:r>
        <w:rPr>
          <w:sz w:val="21"/>
        </w:rPr>
        <w:t>1</w:t>
      </w:r>
      <w:r>
        <w:rPr>
          <w:sz w:val="21"/>
        </w:rPr>
        <w:t>.</w:t>
      </w:r>
      <w:r>
        <w:rPr>
          <w:sz w:val="21"/>
        </w:rPr>
        <w:t>磋商</w:t>
      </w:r>
      <w:r>
        <w:rPr>
          <w:sz w:val="21"/>
        </w:rPr>
        <w:t>文件中，凡有</w:t>
      </w:r>
      <w:r>
        <w:rPr>
          <w:sz w:val="21"/>
        </w:rPr>
        <w:t>“★”标识的内容条款被视为重要的响应要求、技术指标要求和性能要求。</w:t>
      </w:r>
      <w:r>
        <w:rPr>
          <w:sz w:val="21"/>
        </w:rPr>
        <w:t>供应商</w:t>
      </w:r>
      <w:r>
        <w:rPr>
          <w:sz w:val="21"/>
        </w:rPr>
        <w:t>必须对此作出</w:t>
      </w:r>
      <w:r>
        <w:rPr>
          <w:sz w:val="21"/>
        </w:rPr>
        <w:t>响应</w:t>
      </w:r>
      <w:r>
        <w:rPr>
          <w:sz w:val="21"/>
        </w:rPr>
        <w:t>并完全满足这些要求不可以出现任何负偏离，如果出现负偏离则将被视为无效</w:t>
      </w:r>
      <w:r>
        <w:rPr>
          <w:sz w:val="21"/>
        </w:rPr>
        <w:t>响应</w:t>
      </w:r>
      <w:r>
        <w:rPr>
          <w:sz w:val="21"/>
        </w:rPr>
        <w:t>。</w:t>
      </w:r>
    </w:p>
    <w:p>
      <w:pPr>
        <w:pStyle w:val="null3"/>
        <w:ind w:firstLine="422"/>
      </w:pPr>
      <w:r>
        <w:rPr>
          <w:sz w:val="21"/>
        </w:rPr>
        <w:t>2.</w:t>
      </w:r>
      <w:r>
        <w:rPr>
          <w:sz w:val="21"/>
        </w:rPr>
        <w:t>磋商</w:t>
      </w:r>
      <w:r>
        <w:rPr>
          <w:sz w:val="21"/>
        </w:rPr>
        <w:t>文件中，如标有</w:t>
      </w:r>
      <w:r>
        <w:rPr>
          <w:sz w:val="21"/>
        </w:rPr>
        <w:t>“▲”的条款均为评审的重要评分指标，供应商若有部分“▲”条款未响应或不满足，将导致其响应性评审严重扣分。</w:t>
      </w:r>
    </w:p>
    <w:p>
      <w:pPr>
        <w:pStyle w:val="null3"/>
        <w:ind w:firstLine="420"/>
      </w:pPr>
      <w:r>
        <w:rPr>
          <w:sz w:val="21"/>
          <w:b/>
        </w:rPr>
        <w:t>3</w:t>
      </w:r>
      <w:r>
        <w:rPr>
          <w:sz w:val="21"/>
          <w:b/>
        </w:rPr>
        <w:t>.</w:t>
      </w:r>
      <w:r>
        <w:rPr>
          <w:sz w:val="21"/>
          <w:b/>
        </w:rPr>
        <w:t>核心产品：</w:t>
      </w:r>
      <w:r>
        <w:rPr>
          <w:sz w:val="21"/>
          <w:b/>
        </w:rPr>
        <w:t>400w</w:t>
      </w:r>
      <w:r>
        <w:rPr>
          <w:sz w:val="21"/>
          <w:b/>
        </w:rPr>
        <w:t>高清智能球型摄像机。</w:t>
      </w:r>
    </w:p>
    <w:p>
      <w:pPr>
        <w:pStyle w:val="null3"/>
        <w:ind w:firstLine="420"/>
      </w:pPr>
      <w:r>
        <w:rPr>
          <w:sz w:val="21"/>
        </w:rPr>
        <w:t>4.</w:t>
      </w:r>
      <w:r>
        <w:rPr>
          <w:sz w:val="21"/>
        </w:rPr>
        <w:t>相同品牌的定义：多家供应商提供的核心产品的品牌均为相同的品牌。</w:t>
      </w:r>
    </w:p>
    <w:p>
      <w:pPr>
        <w:pStyle w:val="null3"/>
        <w:ind w:firstLine="420"/>
      </w:pPr>
      <w:r>
        <w:rPr>
          <w:sz w:val="21"/>
        </w:rPr>
        <w:t>★</w:t>
      </w:r>
      <w:r>
        <w:rPr>
          <w:sz w:val="21"/>
        </w:rPr>
        <w:t>5.</w:t>
      </w:r>
      <w:r>
        <w:rPr>
          <w:sz w:val="21"/>
        </w:rPr>
        <w:t>响应</w:t>
      </w:r>
      <w:r>
        <w:rPr>
          <w:sz w:val="21"/>
        </w:rPr>
        <w:t>供应商须承诺在项目发布结果公告后，</w:t>
      </w:r>
      <w:r>
        <w:rPr>
          <w:sz w:val="21"/>
        </w:rPr>
        <w:t>如</w:t>
      </w:r>
      <w:r>
        <w:rPr>
          <w:sz w:val="21"/>
        </w:rPr>
        <w:t>响应</w:t>
      </w:r>
      <w:r>
        <w:rPr>
          <w:sz w:val="21"/>
        </w:rPr>
        <w:t>供应商成交</w:t>
      </w:r>
      <w:r>
        <w:rPr>
          <w:sz w:val="21"/>
        </w:rPr>
        <w:t>，</w:t>
      </w:r>
      <w:r>
        <w:rPr>
          <w:sz w:val="21"/>
        </w:rPr>
        <w:t>可根据采购人要求提供项目投标所</w:t>
      </w:r>
      <w:r>
        <w:rPr>
          <w:sz w:val="21"/>
        </w:rPr>
        <w:t>使用</w:t>
      </w:r>
      <w:r>
        <w:rPr>
          <w:sz w:val="21"/>
        </w:rPr>
        <w:t>设备进行实际功能测试，采购人保留对采购需求中的设备参数进行实际测试的权利，测试结果与响应文件不符的视为虚假应标，按响应无效处理，导致整批设备被拒收和索赔，由此引发的所有损失由成交供应商负责，同时采购人有权另外选择成交供应商</w:t>
      </w:r>
      <w:r>
        <w:rPr>
          <w:sz w:val="21"/>
          <w:b/>
        </w:rPr>
        <w:t>（提供承诺函并加盖响应供应商公章，格式自拟）</w:t>
      </w:r>
      <w:r>
        <w:rPr>
          <w:sz w:val="21"/>
        </w:rPr>
        <w:t>。</w:t>
      </w:r>
    </w:p>
    <w:p>
      <w:pPr>
        <w:pStyle w:val="null3"/>
        <w:ind w:firstLine="420"/>
      </w:pPr>
      <w:r>
        <w:rPr>
          <w:sz w:val="21"/>
        </w:rPr>
        <w:t>★</w:t>
      </w:r>
      <w:r>
        <w:rPr>
          <w:sz w:val="21"/>
        </w:rPr>
        <w:t>6.</w:t>
      </w:r>
      <w:r>
        <w:rPr>
          <w:sz w:val="21"/>
        </w:rPr>
        <w:t>响应</w:t>
      </w:r>
      <w:r>
        <w:rPr>
          <w:sz w:val="21"/>
        </w:rPr>
        <w:t>供应商</w:t>
      </w:r>
      <w:r>
        <w:rPr>
          <w:sz w:val="21"/>
        </w:rPr>
        <w:t>须承诺在项目发布结果公告后，如</w:t>
      </w:r>
      <w:r>
        <w:rPr>
          <w:sz w:val="21"/>
        </w:rPr>
        <w:t>响应</w:t>
      </w:r>
      <w:r>
        <w:rPr>
          <w:sz w:val="21"/>
        </w:rPr>
        <w:t>供应商</w:t>
      </w:r>
      <w:r>
        <w:rPr>
          <w:sz w:val="21"/>
        </w:rPr>
        <w:t>中标，可根据采购人要求提供项目投标所使用设备的检测报告原件备查，采购人保留对项目采购需求中设备参数逐条核对的权利，不能提供检测报告原件或检测报告原件与响应文件不符即视为虚假应标，按响应无效处理，导致整批</w:t>
      </w:r>
      <w:r>
        <w:rPr>
          <w:sz w:val="21"/>
        </w:rPr>
        <w:t>设备</w:t>
      </w:r>
      <w:r>
        <w:rPr>
          <w:sz w:val="21"/>
        </w:rPr>
        <w:t>被拒收和索赔，由此引发的所有损失由</w:t>
      </w:r>
      <w:r>
        <w:rPr>
          <w:sz w:val="21"/>
        </w:rPr>
        <w:t>成交供应商</w:t>
      </w:r>
      <w:r>
        <w:rPr>
          <w:sz w:val="21"/>
        </w:rPr>
        <w:t>负责，同时采购人有权另外选择</w:t>
      </w:r>
      <w:r>
        <w:rPr>
          <w:sz w:val="21"/>
        </w:rPr>
        <w:t>成交供应商</w:t>
      </w:r>
      <w:r>
        <w:rPr>
          <w:sz w:val="21"/>
          <w:b/>
        </w:rPr>
        <w:t>（提供承诺函并加盖响应供应商公章，格式自拟）</w:t>
      </w:r>
      <w:r>
        <w:rPr>
          <w:sz w:val="21"/>
        </w:rPr>
        <w:t>。</w:t>
      </w:r>
    </w:p>
    <w:p>
      <w:pPr>
        <w:pStyle w:val="null3"/>
        <w:ind w:firstLine="420"/>
      </w:pPr>
      <w:r>
        <w:rPr>
          <w:sz w:val="21"/>
          <w:b/>
        </w:rPr>
        <w:t>二、项目概述</w:t>
      </w:r>
    </w:p>
    <w:p>
      <w:pPr>
        <w:pStyle w:val="null3"/>
        <w:ind w:firstLine="420"/>
      </w:pPr>
      <w:r>
        <w:rPr>
          <w:sz w:val="21"/>
          <w:b/>
        </w:rPr>
        <w:t>1.</w:t>
      </w:r>
      <w:r>
        <w:rPr>
          <w:sz w:val="21"/>
          <w:b/>
        </w:rPr>
        <w:t>项目背景</w:t>
      </w:r>
    </w:p>
    <w:p>
      <w:pPr>
        <w:pStyle w:val="null3"/>
        <w:ind w:firstLine="420"/>
      </w:pPr>
      <w:r>
        <w:rPr>
          <w:sz w:val="21"/>
        </w:rPr>
        <w:t>民众街道，隶属于</w:t>
      </w:r>
      <w:r>
        <w:rPr>
          <w:sz w:val="21"/>
        </w:rPr>
        <w:t>广东省</w:t>
      </w:r>
      <w:r>
        <w:rPr>
          <w:sz w:val="21"/>
        </w:rPr>
        <w:t>中山市，位于</w:t>
      </w:r>
      <w:r>
        <w:rPr>
          <w:sz w:val="21"/>
        </w:rPr>
        <w:t>中山市</w:t>
      </w:r>
      <w:r>
        <w:rPr>
          <w:sz w:val="21"/>
        </w:rPr>
        <w:t>东北部，东至珠江口，南临横门水道，对岸</w:t>
      </w:r>
      <w:r>
        <w:rPr>
          <w:sz w:val="21"/>
        </w:rPr>
        <w:t>中山火炬开发区</w:t>
      </w:r>
      <w:r>
        <w:rPr>
          <w:sz w:val="21"/>
        </w:rPr>
        <w:t>，西南与</w:t>
      </w:r>
      <w:r>
        <w:rPr>
          <w:sz w:val="21"/>
        </w:rPr>
        <w:t>港口镇</w:t>
      </w:r>
      <w:r>
        <w:rPr>
          <w:sz w:val="21"/>
        </w:rPr>
        <w:t>以鸡鸦水道为界，北隔洪奇沥与广州市</w:t>
      </w:r>
      <w:r>
        <w:rPr>
          <w:sz w:val="21"/>
        </w:rPr>
        <w:t>番禺区</w:t>
      </w:r>
      <w:r>
        <w:rPr>
          <w:sz w:val="21"/>
        </w:rPr>
        <w:t>相望，西北接</w:t>
      </w:r>
      <w:r>
        <w:rPr>
          <w:sz w:val="21"/>
        </w:rPr>
        <w:t>三角镇</w:t>
      </w:r>
      <w:r>
        <w:rPr>
          <w:sz w:val="21"/>
        </w:rPr>
        <w:t>，</w:t>
      </w:r>
      <w:r>
        <w:rPr>
          <w:sz w:val="21"/>
        </w:rPr>
        <w:t>行政区域面积</w:t>
      </w:r>
      <w:r>
        <w:rPr>
          <w:sz w:val="21"/>
        </w:rPr>
        <w:t>125.42</w:t>
      </w:r>
      <w:r>
        <w:rPr>
          <w:sz w:val="21"/>
        </w:rPr>
        <w:t>平方千米</w:t>
      </w:r>
      <w:r>
        <w:rPr>
          <w:sz w:val="21"/>
        </w:rPr>
        <w:t>。</w:t>
      </w:r>
    </w:p>
    <w:p>
      <w:pPr>
        <w:pStyle w:val="null3"/>
        <w:ind w:firstLine="420"/>
      </w:pPr>
      <w:r>
        <w:rPr>
          <w:sz w:val="21"/>
        </w:rPr>
        <w:t>随着社会的发展，当前治安形势多样性、复杂性、犯罪作案手段隐蔽性以及刑事案件高发，这些都对公安部门提出更高的要求，而公安部门现有的治安视频监控系统及其它技防手段已经不能完全覆盖辖区内的主要路段、重要设施及重点防范场所，不能完全保障人民群众的安居乐业、不能完全满足</w:t>
      </w:r>
      <w:r>
        <w:rPr>
          <w:sz w:val="21"/>
        </w:rPr>
        <w:t>“平安中山”建设的需要，迫切需要对现有的治安动态视频监控系统进行升级和改造</w:t>
      </w:r>
      <w:r>
        <w:rPr>
          <w:sz w:val="21"/>
        </w:rPr>
        <w:t>，</w:t>
      </w:r>
      <w:r>
        <w:rPr>
          <w:sz w:val="21"/>
        </w:rPr>
        <w:t>增加高清社会治安监控点，最大限度地发挥社会治安监控系统在治安、刑事案件高发的防范、控制和打击中的积极作用，以适应城市建设和发展的需要、满足人民群众安居乐业和</w:t>
      </w:r>
      <w:r>
        <w:rPr>
          <w:sz w:val="21"/>
        </w:rPr>
        <w:t>“平安中山”建设的需要。</w:t>
      </w:r>
    </w:p>
    <w:p>
      <w:pPr>
        <w:pStyle w:val="null3"/>
        <w:ind w:firstLine="420"/>
      </w:pPr>
      <w:r>
        <w:rPr>
          <w:sz w:val="21"/>
        </w:rPr>
        <w:t>升级改造高清治安视频监控系统、设备是公安分局对主要路口、商贸社区重点部位及治安复杂场所实施动态监视的</w:t>
      </w:r>
      <w:r>
        <w:rPr>
          <w:sz w:val="21"/>
        </w:rPr>
        <w:t>“千里眼”，它能为指挥人员提供路口、重点部位与公众场所的治安的直观信息与实时的动态情况，它能与公安“</w:t>
      </w:r>
      <w:r>
        <w:rPr>
          <w:sz w:val="21"/>
        </w:rPr>
        <w:t>110</w:t>
      </w:r>
      <w:r>
        <w:rPr>
          <w:sz w:val="21"/>
        </w:rPr>
        <w:t>”报警、区域联网报警、有线、无线通信、信息处理、交通指挥等系统有机结合，将在</w:t>
      </w:r>
      <w:r>
        <w:rPr>
          <w:sz w:val="21"/>
        </w:rPr>
        <w:t>建设</w:t>
      </w:r>
      <w:r>
        <w:rPr>
          <w:sz w:val="21"/>
        </w:rPr>
        <w:t>社会安定、打击犯罪等方面发挥重要的作用。</w:t>
      </w:r>
    </w:p>
    <w:p>
      <w:pPr>
        <w:pStyle w:val="null3"/>
        <w:ind w:firstLine="420"/>
      </w:pPr>
      <w:r>
        <w:rPr>
          <w:sz w:val="21"/>
          <w:b/>
        </w:rPr>
        <w:t>本</w:t>
      </w:r>
      <w:r>
        <w:rPr>
          <w:sz w:val="21"/>
          <w:b/>
        </w:rPr>
        <w:t>项目</w:t>
      </w:r>
      <w:r>
        <w:rPr>
          <w:sz w:val="21"/>
          <w:b/>
        </w:rPr>
        <w:t>内容</w:t>
      </w:r>
      <w:r>
        <w:rPr>
          <w:sz w:val="21"/>
          <w:b/>
        </w:rPr>
        <w:t>主要针对民众镇社会治安监控一期、二期、村村通现有设备进行升级改造，并对民众街道管辖的</w:t>
      </w:r>
      <w:r>
        <w:rPr>
          <w:sz w:val="21"/>
          <w:b/>
        </w:rPr>
        <w:t>18</w:t>
      </w:r>
      <w:r>
        <w:rPr>
          <w:sz w:val="21"/>
          <w:b/>
        </w:rPr>
        <w:t>个村（社区）进行补盲工作，项目类别主要为视频监控系统前端设备更新。</w:t>
      </w:r>
    </w:p>
    <w:p>
      <w:pPr>
        <w:pStyle w:val="null3"/>
        <w:ind w:firstLine="420"/>
      </w:pPr>
      <w:r>
        <w:rPr>
          <w:sz w:val="21"/>
          <w:b/>
        </w:rPr>
        <w:t>2.</w:t>
      </w:r>
      <w:r>
        <w:rPr>
          <w:sz w:val="21"/>
          <w:b/>
        </w:rPr>
        <w:t>编制依据</w:t>
      </w:r>
    </w:p>
    <w:p>
      <w:pPr>
        <w:pStyle w:val="null3"/>
        <w:ind w:firstLine="420"/>
      </w:pPr>
      <w:r>
        <w:rPr>
          <w:sz w:val="21"/>
        </w:rPr>
        <w:t>项目范围内的活动均遵守国家现行的规范与标准，对我国未制定的规范，则参照相应的国际标准执行。</w:t>
      </w:r>
    </w:p>
    <w:p>
      <w:pPr>
        <w:pStyle w:val="null3"/>
        <w:ind w:firstLine="420"/>
      </w:pPr>
      <w:r>
        <w:rPr>
          <w:sz w:val="21"/>
        </w:rPr>
        <w:t>2.1</w:t>
      </w:r>
      <w:r>
        <w:rPr>
          <w:sz w:val="21"/>
        </w:rPr>
        <w:t>.</w:t>
      </w:r>
      <w:r>
        <w:rPr>
          <w:sz w:val="21"/>
        </w:rPr>
        <w:t>国家、省市指导性文件</w:t>
      </w:r>
    </w:p>
    <w:p>
      <w:pPr>
        <w:pStyle w:val="null3"/>
        <w:ind w:firstLine="420"/>
      </w:pPr>
      <w:r>
        <w:rPr>
          <w:sz w:val="21"/>
        </w:rPr>
        <w:t>（</w:t>
      </w:r>
      <w:r>
        <w:rPr>
          <w:sz w:val="21"/>
        </w:rPr>
        <w:t>1</w:t>
      </w:r>
      <w:r>
        <w:rPr>
          <w:sz w:val="21"/>
        </w:rPr>
        <w:t>）《广东省公共安全视频图像信息系统管理办法》（广东省政府令第</w:t>
      </w:r>
      <w:r>
        <w:rPr>
          <w:sz w:val="21"/>
        </w:rPr>
        <w:t>132</w:t>
      </w:r>
      <w:r>
        <w:rPr>
          <w:sz w:val="21"/>
        </w:rPr>
        <w:t>号）；</w:t>
      </w:r>
    </w:p>
    <w:p>
      <w:pPr>
        <w:pStyle w:val="null3"/>
        <w:ind w:firstLine="420"/>
      </w:pPr>
      <w:r>
        <w:rPr>
          <w:sz w:val="21"/>
        </w:rPr>
        <w:t>（</w:t>
      </w:r>
      <w:r>
        <w:rPr>
          <w:sz w:val="21"/>
        </w:rPr>
        <w:t>2</w:t>
      </w:r>
      <w:r>
        <w:rPr>
          <w:sz w:val="21"/>
        </w:rPr>
        <w:t>）《广东省社会治安视频监控系统数据传输技术规范》；</w:t>
      </w:r>
    </w:p>
    <w:p>
      <w:pPr>
        <w:pStyle w:val="null3"/>
        <w:ind w:firstLine="420"/>
      </w:pPr>
      <w:r>
        <w:rPr>
          <w:sz w:val="21"/>
        </w:rPr>
        <w:t>（</w:t>
      </w:r>
      <w:r>
        <w:rPr>
          <w:sz w:val="21"/>
        </w:rPr>
        <w:t>3</w:t>
      </w:r>
      <w:r>
        <w:rPr>
          <w:sz w:val="21"/>
        </w:rPr>
        <w:t>）《广东省社会治安视频监控系统建设指引》；</w:t>
      </w:r>
    </w:p>
    <w:p>
      <w:pPr>
        <w:pStyle w:val="null3"/>
        <w:ind w:firstLine="420"/>
      </w:pPr>
      <w:r>
        <w:rPr>
          <w:sz w:val="21"/>
        </w:rPr>
        <w:t>（</w:t>
      </w:r>
      <w:r>
        <w:rPr>
          <w:sz w:val="21"/>
        </w:rPr>
        <w:t>4</w:t>
      </w:r>
      <w:r>
        <w:rPr>
          <w:sz w:val="21"/>
        </w:rPr>
        <w:t>）《广东省社会治安视频监控系统数据传输技术规范》。</w:t>
      </w:r>
    </w:p>
    <w:p>
      <w:pPr>
        <w:pStyle w:val="null3"/>
        <w:ind w:firstLine="420"/>
      </w:pPr>
      <w:r>
        <w:rPr>
          <w:sz w:val="21"/>
        </w:rPr>
        <w:t>2.2.</w:t>
      </w:r>
      <w:r>
        <w:rPr>
          <w:sz w:val="21"/>
        </w:rPr>
        <w:t>国家、行业规范性文件</w:t>
      </w:r>
    </w:p>
    <w:p>
      <w:pPr>
        <w:pStyle w:val="null3"/>
        <w:ind w:firstLine="420"/>
      </w:pPr>
      <w:r>
        <w:rPr>
          <w:sz w:val="21"/>
        </w:rPr>
        <w:t>（</w:t>
      </w:r>
      <w:r>
        <w:rPr>
          <w:sz w:val="21"/>
        </w:rPr>
        <w:t>1</w:t>
      </w:r>
      <w:r>
        <w:rPr>
          <w:sz w:val="21"/>
        </w:rPr>
        <w:t>）《公共安全视频监控联网系统信息传输、交换、控制技术要求》（</w:t>
      </w:r>
      <w:r>
        <w:rPr>
          <w:sz w:val="21"/>
        </w:rPr>
        <w:t>GB/T 28181-2022</w:t>
      </w:r>
      <w:r>
        <w:rPr>
          <w:sz w:val="21"/>
        </w:rPr>
        <w:t>）；</w:t>
      </w:r>
    </w:p>
    <w:p>
      <w:pPr>
        <w:pStyle w:val="null3"/>
        <w:ind w:firstLine="420"/>
      </w:pPr>
      <w:r>
        <w:rPr>
          <w:sz w:val="21"/>
        </w:rPr>
        <w:t>（</w:t>
      </w:r>
      <w:r>
        <w:rPr>
          <w:sz w:val="21"/>
        </w:rPr>
        <w:t>2</w:t>
      </w:r>
      <w:r>
        <w:rPr>
          <w:sz w:val="21"/>
        </w:rPr>
        <w:t>）《安全防范工程技术标准》（</w:t>
      </w:r>
      <w:r>
        <w:rPr>
          <w:sz w:val="21"/>
        </w:rPr>
        <w:t>GB 50348-2018</w:t>
      </w:r>
      <w:r>
        <w:rPr>
          <w:sz w:val="21"/>
        </w:rPr>
        <w:t>）；</w:t>
      </w:r>
    </w:p>
    <w:p>
      <w:pPr>
        <w:pStyle w:val="null3"/>
        <w:ind w:firstLine="420"/>
      </w:pPr>
      <w:r>
        <w:rPr>
          <w:sz w:val="21"/>
        </w:rPr>
        <w:t>（</w:t>
      </w:r>
      <w:r>
        <w:rPr>
          <w:sz w:val="21"/>
        </w:rPr>
        <w:t>3</w:t>
      </w:r>
      <w:r>
        <w:rPr>
          <w:sz w:val="21"/>
        </w:rPr>
        <w:t>）《公共安全视频监控数字视音频编解码技术要求》（</w:t>
      </w:r>
      <w:r>
        <w:rPr>
          <w:sz w:val="21"/>
        </w:rPr>
        <w:t>GB/T 25724-2017</w:t>
      </w:r>
      <w:r>
        <w:rPr>
          <w:sz w:val="21"/>
        </w:rPr>
        <w:t>）；</w:t>
      </w:r>
    </w:p>
    <w:p>
      <w:pPr>
        <w:pStyle w:val="null3"/>
        <w:ind w:firstLine="420"/>
      </w:pPr>
      <w:r>
        <w:rPr>
          <w:sz w:val="21"/>
        </w:rPr>
        <w:t>（</w:t>
      </w:r>
      <w:r>
        <w:rPr>
          <w:sz w:val="21"/>
        </w:rPr>
        <w:t>4</w:t>
      </w:r>
      <w:r>
        <w:rPr>
          <w:sz w:val="21"/>
        </w:rPr>
        <w:t>）《视频安防监控系统工程设计规范》（</w:t>
      </w:r>
      <w:r>
        <w:rPr>
          <w:sz w:val="21"/>
        </w:rPr>
        <w:t>GB 50395-2007</w:t>
      </w:r>
      <w:r>
        <w:rPr>
          <w:sz w:val="21"/>
        </w:rPr>
        <w:t>）；</w:t>
      </w:r>
    </w:p>
    <w:p>
      <w:pPr>
        <w:pStyle w:val="null3"/>
        <w:ind w:firstLine="420"/>
      </w:pPr>
      <w:r>
        <w:rPr>
          <w:sz w:val="21"/>
        </w:rPr>
        <w:t>（</w:t>
      </w:r>
      <w:r>
        <w:rPr>
          <w:sz w:val="21"/>
        </w:rPr>
        <w:t>5</w:t>
      </w:r>
      <w:r>
        <w:rPr>
          <w:sz w:val="21"/>
        </w:rPr>
        <w:t>）《民用闭路监视电视系统工程技术规范》（</w:t>
      </w:r>
      <w:r>
        <w:rPr>
          <w:sz w:val="21"/>
        </w:rPr>
        <w:t>GB 50198-2011</w:t>
      </w:r>
      <w:r>
        <w:rPr>
          <w:sz w:val="21"/>
        </w:rPr>
        <w:t>）；</w:t>
      </w:r>
    </w:p>
    <w:p>
      <w:pPr>
        <w:pStyle w:val="null3"/>
        <w:ind w:firstLine="420"/>
      </w:pPr>
      <w:r>
        <w:rPr>
          <w:sz w:val="21"/>
        </w:rPr>
        <w:t>（</w:t>
      </w:r>
      <w:r>
        <w:rPr>
          <w:sz w:val="21"/>
        </w:rPr>
        <w:t>6</w:t>
      </w:r>
      <w:r>
        <w:rPr>
          <w:sz w:val="21"/>
        </w:rPr>
        <w:t>）《公安视频图像信息应用系统 第一部分：通用技术要求》（</w:t>
      </w:r>
      <w:r>
        <w:rPr>
          <w:sz w:val="21"/>
        </w:rPr>
        <w:t>GA/T 1400.1-2017</w:t>
      </w:r>
      <w:r>
        <w:rPr>
          <w:sz w:val="21"/>
        </w:rPr>
        <w:t>）；</w:t>
      </w:r>
    </w:p>
    <w:p>
      <w:pPr>
        <w:pStyle w:val="null3"/>
        <w:ind w:firstLine="420"/>
      </w:pPr>
      <w:r>
        <w:rPr>
          <w:sz w:val="21"/>
        </w:rPr>
        <w:t>（</w:t>
      </w:r>
      <w:r>
        <w:rPr>
          <w:sz w:val="21"/>
        </w:rPr>
        <w:t>7</w:t>
      </w:r>
      <w:r>
        <w:rPr>
          <w:sz w:val="21"/>
        </w:rPr>
        <w:t>）《公安视频图像信息应用系统 第二部分：应用平台技术要求》（</w:t>
      </w:r>
      <w:r>
        <w:rPr>
          <w:sz w:val="21"/>
        </w:rPr>
        <w:t>GA/T 1400.2-2017</w:t>
      </w:r>
      <w:r>
        <w:rPr>
          <w:sz w:val="21"/>
        </w:rPr>
        <w:t>）；</w:t>
      </w:r>
    </w:p>
    <w:p>
      <w:pPr>
        <w:pStyle w:val="null3"/>
        <w:ind w:firstLine="420"/>
      </w:pPr>
      <w:r>
        <w:rPr>
          <w:sz w:val="21"/>
        </w:rPr>
        <w:t>（</w:t>
      </w:r>
      <w:r>
        <w:rPr>
          <w:sz w:val="21"/>
        </w:rPr>
        <w:t>8</w:t>
      </w:r>
      <w:r>
        <w:rPr>
          <w:sz w:val="21"/>
        </w:rPr>
        <w:t>）《公安视频图像信息应用系统 第三部分：数据库技术要求》（</w:t>
      </w:r>
      <w:r>
        <w:rPr>
          <w:sz w:val="21"/>
        </w:rPr>
        <w:t>GA/T 1400.3-2017</w:t>
      </w:r>
      <w:r>
        <w:rPr>
          <w:sz w:val="21"/>
        </w:rPr>
        <w:t>）；</w:t>
      </w:r>
    </w:p>
    <w:p>
      <w:pPr>
        <w:pStyle w:val="null3"/>
        <w:ind w:firstLine="420"/>
      </w:pPr>
      <w:r>
        <w:rPr>
          <w:sz w:val="21"/>
        </w:rPr>
        <w:t>（</w:t>
      </w:r>
      <w:r>
        <w:rPr>
          <w:sz w:val="21"/>
        </w:rPr>
        <w:t>9</w:t>
      </w:r>
      <w:r>
        <w:rPr>
          <w:sz w:val="21"/>
        </w:rPr>
        <w:t>）《公安视频图像信息应用系统 第四部分：接口协议要求》（</w:t>
      </w:r>
      <w:r>
        <w:rPr>
          <w:sz w:val="21"/>
        </w:rPr>
        <w:t>GA/T 1400.4-2017</w:t>
      </w:r>
      <w:r>
        <w:rPr>
          <w:sz w:val="21"/>
        </w:rPr>
        <w:t>）；</w:t>
      </w:r>
    </w:p>
    <w:p>
      <w:pPr>
        <w:pStyle w:val="null3"/>
        <w:ind w:firstLine="420"/>
      </w:pPr>
      <w:r>
        <w:rPr>
          <w:sz w:val="21"/>
        </w:rPr>
        <w:t>（</w:t>
      </w:r>
      <w:r>
        <w:rPr>
          <w:sz w:val="21"/>
        </w:rPr>
        <w:t>10</w:t>
      </w:r>
      <w:r>
        <w:rPr>
          <w:sz w:val="21"/>
        </w:rPr>
        <w:t>）《公安视频图像信息联网与应用标准体系表》（</w:t>
      </w:r>
      <w:r>
        <w:rPr>
          <w:sz w:val="21"/>
        </w:rPr>
        <w:t>GA/Z 1164-2014</w:t>
      </w:r>
      <w:r>
        <w:rPr>
          <w:sz w:val="21"/>
        </w:rPr>
        <w:t>）；</w:t>
      </w:r>
    </w:p>
    <w:p>
      <w:pPr>
        <w:pStyle w:val="null3"/>
        <w:ind w:firstLine="420"/>
      </w:pPr>
      <w:r>
        <w:rPr>
          <w:sz w:val="21"/>
        </w:rPr>
        <w:t>（</w:t>
      </w:r>
      <w:r>
        <w:rPr>
          <w:sz w:val="21"/>
        </w:rPr>
        <w:t>11</w:t>
      </w:r>
      <w:r>
        <w:rPr>
          <w:sz w:val="21"/>
        </w:rPr>
        <w:t>）《公安视频图像屏幕显示信息叠加规范》（</w:t>
      </w:r>
      <w:r>
        <w:rPr>
          <w:sz w:val="21"/>
        </w:rPr>
        <w:t>GA/T751-2024</w:t>
      </w:r>
      <w:r>
        <w:rPr>
          <w:sz w:val="21"/>
        </w:rPr>
        <w:t>）；</w:t>
      </w:r>
    </w:p>
    <w:p>
      <w:pPr>
        <w:pStyle w:val="null3"/>
        <w:ind w:firstLine="420"/>
      </w:pPr>
      <w:r>
        <w:rPr>
          <w:sz w:val="21"/>
        </w:rPr>
        <w:t>（</w:t>
      </w:r>
      <w:r>
        <w:rPr>
          <w:sz w:val="21"/>
        </w:rPr>
        <w:t>12</w:t>
      </w:r>
      <w:r>
        <w:rPr>
          <w:sz w:val="21"/>
        </w:rPr>
        <w:t>）《城市监控报警联网系统技术标准》（</w:t>
      </w:r>
      <w:r>
        <w:rPr>
          <w:sz w:val="21"/>
        </w:rPr>
        <w:t>GA/T 669-2008</w:t>
      </w:r>
      <w:r>
        <w:rPr>
          <w:sz w:val="21"/>
        </w:rPr>
        <w:t>）；</w:t>
      </w:r>
    </w:p>
    <w:p>
      <w:pPr>
        <w:pStyle w:val="null3"/>
        <w:ind w:firstLine="420"/>
      </w:pPr>
      <w:r>
        <w:rPr>
          <w:sz w:val="21"/>
        </w:rPr>
        <w:t>（</w:t>
      </w:r>
      <w:r>
        <w:rPr>
          <w:sz w:val="21"/>
        </w:rPr>
        <w:t>13</w:t>
      </w:r>
      <w:r>
        <w:rPr>
          <w:sz w:val="21"/>
        </w:rPr>
        <w:t>）《视频安防监控系统技术要求》（</w:t>
      </w:r>
      <w:r>
        <w:rPr>
          <w:sz w:val="21"/>
        </w:rPr>
        <w:t>GA/T 367-2001</w:t>
      </w:r>
      <w:r>
        <w:rPr>
          <w:sz w:val="21"/>
        </w:rPr>
        <w:t>）；</w:t>
      </w:r>
    </w:p>
    <w:p>
      <w:pPr>
        <w:pStyle w:val="null3"/>
        <w:ind w:firstLine="420"/>
      </w:pPr>
      <w:r>
        <w:rPr>
          <w:sz w:val="21"/>
        </w:rPr>
        <w:t>（</w:t>
      </w:r>
      <w:r>
        <w:rPr>
          <w:sz w:val="21"/>
        </w:rPr>
        <w:t>14</w:t>
      </w:r>
      <w:r>
        <w:rPr>
          <w:sz w:val="21"/>
        </w:rPr>
        <w:t>）《安全防范工程程序与要求》（</w:t>
      </w:r>
      <w:r>
        <w:rPr>
          <w:sz w:val="21"/>
        </w:rPr>
        <w:t>GA/T 75-1994</w:t>
      </w:r>
      <w:r>
        <w:rPr>
          <w:sz w:val="21"/>
        </w:rPr>
        <w:t>）；</w:t>
      </w:r>
    </w:p>
    <w:p>
      <w:pPr>
        <w:pStyle w:val="null3"/>
        <w:ind w:firstLine="420"/>
      </w:pPr>
      <w:r>
        <w:rPr>
          <w:sz w:val="21"/>
        </w:rPr>
        <w:t>（</w:t>
      </w:r>
      <w:r>
        <w:rPr>
          <w:sz w:val="21"/>
        </w:rPr>
        <w:t>15</w:t>
      </w:r>
      <w:r>
        <w:rPr>
          <w:sz w:val="21"/>
        </w:rPr>
        <w:t>）《安全防范系统验收规则》（</w:t>
      </w:r>
      <w:r>
        <w:rPr>
          <w:sz w:val="21"/>
        </w:rPr>
        <w:t>GA 308-2001</w:t>
      </w:r>
      <w:r>
        <w:rPr>
          <w:sz w:val="21"/>
        </w:rPr>
        <w:t>）；</w:t>
      </w:r>
    </w:p>
    <w:p>
      <w:pPr>
        <w:pStyle w:val="null3"/>
        <w:ind w:firstLine="420"/>
      </w:pPr>
      <w:r>
        <w:rPr>
          <w:sz w:val="21"/>
        </w:rPr>
        <w:t>（</w:t>
      </w:r>
      <w:r>
        <w:rPr>
          <w:sz w:val="21"/>
        </w:rPr>
        <w:t>16</w:t>
      </w:r>
      <w:r>
        <w:rPr>
          <w:sz w:val="21"/>
        </w:rPr>
        <w:t>）《安全防范系统雷电浪涌防护技术要求》（</w:t>
      </w:r>
      <w:r>
        <w:rPr>
          <w:sz w:val="21"/>
        </w:rPr>
        <w:t>GA/T 670-2006</w:t>
      </w:r>
      <w:r>
        <w:rPr>
          <w:sz w:val="21"/>
        </w:rPr>
        <w:t>）；</w:t>
      </w:r>
    </w:p>
    <w:p>
      <w:pPr>
        <w:pStyle w:val="null3"/>
        <w:ind w:firstLine="420"/>
      </w:pPr>
      <w:r>
        <w:rPr>
          <w:sz w:val="21"/>
        </w:rPr>
        <w:t>（</w:t>
      </w:r>
      <w:r>
        <w:rPr>
          <w:sz w:val="21"/>
        </w:rPr>
        <w:t>17</w:t>
      </w:r>
      <w:r>
        <w:rPr>
          <w:sz w:val="21"/>
        </w:rPr>
        <w:t>）《公安视频图像屏幕显示信息叠加规范》（</w:t>
      </w:r>
      <w:r>
        <w:rPr>
          <w:sz w:val="21"/>
        </w:rPr>
        <w:t>GA/T 751-2024</w:t>
      </w:r>
      <w:r>
        <w:rPr>
          <w:sz w:val="21"/>
        </w:rPr>
        <w:t>）。</w:t>
      </w:r>
    </w:p>
    <w:p>
      <w:pPr>
        <w:pStyle w:val="null3"/>
        <w:ind w:firstLine="420"/>
      </w:pPr>
      <w:r>
        <w:rPr>
          <w:sz w:val="21"/>
        </w:rPr>
        <w:t>2.3.</w:t>
      </w:r>
      <w:r>
        <w:rPr>
          <w:sz w:val="21"/>
        </w:rPr>
        <w:t>其他依据</w:t>
      </w:r>
    </w:p>
    <w:p>
      <w:pPr>
        <w:pStyle w:val="null3"/>
        <w:ind w:firstLine="420"/>
      </w:pPr>
      <w:r>
        <w:rPr>
          <w:sz w:val="21"/>
        </w:rPr>
        <w:t>（</w:t>
      </w:r>
      <w:r>
        <w:rPr>
          <w:sz w:val="21"/>
        </w:rPr>
        <w:t>1</w:t>
      </w:r>
      <w:r>
        <w:rPr>
          <w:sz w:val="21"/>
        </w:rPr>
        <w:t>）厂家及采购人提供的相关数据；</w:t>
      </w:r>
    </w:p>
    <w:p>
      <w:pPr>
        <w:pStyle w:val="null3"/>
        <w:ind w:firstLine="420"/>
      </w:pPr>
      <w:r>
        <w:rPr>
          <w:sz w:val="21"/>
        </w:rPr>
        <w:t>（</w:t>
      </w:r>
      <w:r>
        <w:rPr>
          <w:sz w:val="21"/>
        </w:rPr>
        <w:t>2</w:t>
      </w:r>
      <w:r>
        <w:rPr>
          <w:sz w:val="21"/>
        </w:rPr>
        <w:t>）设计人员赴现场勘察收集的有关资料。</w:t>
      </w:r>
    </w:p>
    <w:p>
      <w:pPr>
        <w:pStyle w:val="null3"/>
        <w:ind w:firstLine="420"/>
      </w:pPr>
      <w:r>
        <w:rPr>
          <w:sz w:val="21"/>
          <w:b/>
        </w:rPr>
        <w:t>3.</w:t>
      </w:r>
      <w:r>
        <w:rPr>
          <w:sz w:val="21"/>
          <w:b/>
        </w:rPr>
        <w:t>项目建设目标、规模及内容</w:t>
      </w:r>
    </w:p>
    <w:p>
      <w:pPr>
        <w:pStyle w:val="null3"/>
        <w:ind w:firstLine="420"/>
      </w:pPr>
      <w:r>
        <w:rPr>
          <w:sz w:val="21"/>
        </w:rPr>
        <w:t>3.1.</w:t>
      </w:r>
      <w:r>
        <w:rPr>
          <w:sz w:val="21"/>
        </w:rPr>
        <w:t>建设目标</w:t>
      </w:r>
    </w:p>
    <w:p>
      <w:pPr>
        <w:pStyle w:val="null3"/>
        <w:ind w:firstLine="420"/>
      </w:pPr>
      <w:r>
        <w:rPr>
          <w:sz w:val="21"/>
        </w:rPr>
        <w:t>根据</w:t>
      </w:r>
      <w:r>
        <w:rPr>
          <w:sz w:val="21"/>
          <w:b/>
        </w:rPr>
        <w:t>《广东省公安科技信息化建设</w:t>
      </w:r>
      <w:r>
        <w:rPr>
          <w:sz w:val="21"/>
          <w:b/>
        </w:rPr>
        <w:t>“十四五”规划》和《广东省公安机关加强社会面治安巡防管控“四个一”体系建设工作方案》</w:t>
      </w:r>
      <w:r>
        <w:rPr>
          <w:sz w:val="21"/>
        </w:rPr>
        <w:t>要求，建设是以打击、预防违法犯罪为目的，通过对前端设备采集的视频、图像、实时监控使民众街道公安机关直观地了解和掌握监控区域的治安动态，有效提高中山市社会治安管理水平。在治安复杂场所、商业区、工业区、主要街道、村路口、案件多发地段等地点设立视频监控点，将监控图像实时传输到各级公安机关和其它相关部门。</w:t>
      </w:r>
    </w:p>
    <w:p>
      <w:pPr>
        <w:pStyle w:val="null3"/>
        <w:ind w:firstLine="420"/>
      </w:pPr>
      <w:r>
        <w:rPr>
          <w:sz w:val="21"/>
        </w:rPr>
        <w:t>通过本项目的建设，充分应用先进的视频结构化分析、视频摘要、视频检索、车辆大数据、人像大数据等先进的图像处理技术，进而构建全新智慧公安作战系统，有效突破了视频监控系统与警综系统的整合瓶颈，从根本上改变了原有以人工为主、大强度、低效能的警务业务模式，对拓展视频图像信息共享、创新图侦模式和监控勤务机制有新的提高，运用视频监控技术破案率提升至</w:t>
      </w:r>
      <w:r>
        <w:rPr>
          <w:sz w:val="21"/>
        </w:rPr>
        <w:t>30%</w:t>
      </w:r>
      <w:r>
        <w:rPr>
          <w:sz w:val="21"/>
        </w:rPr>
        <w:t>以上，社会面管控及维稳处突能力明显提高，城市现代化管理水平明显提高，人民群众安全感指数明显提高。</w:t>
      </w:r>
    </w:p>
    <w:p>
      <w:pPr>
        <w:pStyle w:val="null3"/>
        <w:ind w:firstLine="420"/>
      </w:pPr>
      <w:r>
        <w:rPr>
          <w:sz w:val="21"/>
          <w:b/>
        </w:rPr>
        <w:t>3.2.</w:t>
      </w:r>
      <w:r>
        <w:rPr>
          <w:sz w:val="21"/>
          <w:b/>
        </w:rPr>
        <w:t>建设规模</w:t>
      </w:r>
    </w:p>
    <w:p>
      <w:pPr>
        <w:pStyle w:val="null3"/>
        <w:ind w:firstLine="420"/>
      </w:pPr>
      <w:r>
        <w:rPr>
          <w:sz w:val="21"/>
          <w:b/>
        </w:rPr>
        <w:t>本项目根据《公共安全重点区域视频图像信息采集规范》（</w:t>
      </w:r>
      <w:r>
        <w:rPr>
          <w:sz w:val="21"/>
          <w:b/>
        </w:rPr>
        <w:t>GB</w:t>
      </w:r>
      <w:r>
        <w:rPr>
          <w:b/>
        </w:rPr>
        <w:t xml:space="preserve"> </w:t>
      </w:r>
      <w:r>
        <w:rPr>
          <w:sz w:val="21"/>
          <w:b/>
        </w:rPr>
        <w:t>37300</w:t>
      </w:r>
      <w:r>
        <w:rPr>
          <w:sz w:val="21"/>
          <w:b/>
        </w:rPr>
        <w:t>）和《公共区域视频图像采集设备布建指南》等技术标准规范，对民众镇一期</w:t>
      </w:r>
      <w:r>
        <w:rPr>
          <w:sz w:val="21"/>
          <w:b/>
        </w:rPr>
        <w:t>68</w:t>
      </w:r>
      <w:r>
        <w:rPr>
          <w:sz w:val="21"/>
          <w:b/>
        </w:rPr>
        <w:t>个视频监控设备进行更新，二期</w:t>
      </w:r>
      <w:r>
        <w:rPr>
          <w:sz w:val="21"/>
          <w:b/>
        </w:rPr>
        <w:t>17</w:t>
      </w:r>
      <w:r>
        <w:rPr>
          <w:sz w:val="21"/>
          <w:b/>
        </w:rPr>
        <w:t>个视频监控设备进行更新，村村通</w:t>
      </w:r>
      <w:r>
        <w:rPr>
          <w:sz w:val="21"/>
          <w:b/>
        </w:rPr>
        <w:t>88</w:t>
      </w:r>
      <w:r>
        <w:rPr>
          <w:sz w:val="21"/>
          <w:b/>
        </w:rPr>
        <w:t>个视频监控设备进行更新，并在民众街道管辖的村（社区）范围内建设</w:t>
      </w:r>
      <w:r>
        <w:rPr>
          <w:sz w:val="21"/>
          <w:b/>
        </w:rPr>
        <w:t>30</w:t>
      </w:r>
      <w:r>
        <w:rPr>
          <w:sz w:val="21"/>
          <w:b/>
        </w:rPr>
        <w:t>个视频监控点位对重要区域进行覆盖。</w:t>
      </w:r>
    </w:p>
    <w:p>
      <w:pPr>
        <w:pStyle w:val="null3"/>
        <w:ind w:firstLine="420"/>
      </w:pPr>
      <w:r>
        <w:rPr>
          <w:sz w:val="21"/>
        </w:rPr>
        <w:t>3.3.</w:t>
      </w:r>
      <w:r>
        <w:rPr>
          <w:sz w:val="21"/>
        </w:rPr>
        <w:t>项目建设内容</w:t>
      </w:r>
    </w:p>
    <w:p>
      <w:pPr>
        <w:pStyle w:val="null3"/>
        <w:ind w:firstLine="420"/>
      </w:pPr>
      <w:r>
        <w:rPr>
          <w:sz w:val="21"/>
        </w:rPr>
        <w:t>本项目主要为视频监控设备更新及前端建设，包含前端子系统、传输子系统、后端子系统三大部分；前端子系统包含前端视频监控设备、设备安装杆体及基础、供电线路、智能监控箱、防雷接地等工作内容。传输子系统主要通过租赁传输链路实现前端点位至辖区分局机房或市局中心机房数据传输要求。后端子系统主要为设备存储设备、网络交换设备、接入处理交换设备和机房配套设备组成。项目产生的视频监控数据接入至现有视频联网共享平台、视频云等系统。</w:t>
      </w:r>
      <w:r>
        <w:rPr>
          <w:sz w:val="21"/>
          <w:b/>
        </w:rPr>
        <w:t>本项目不涉及软件平台的建设、升级改造等内容。</w:t>
      </w:r>
    </w:p>
    <w:p>
      <w:pPr>
        <w:pStyle w:val="null3"/>
        <w:ind w:firstLine="420"/>
      </w:pPr>
      <w:r>
        <w:rPr>
          <w:sz w:val="21"/>
          <w:b/>
        </w:rPr>
        <w:t>4.</w:t>
      </w:r>
      <w:r>
        <w:rPr>
          <w:sz w:val="21"/>
          <w:b/>
        </w:rPr>
        <w:t>建设原则</w:t>
      </w:r>
    </w:p>
    <w:p>
      <w:pPr>
        <w:pStyle w:val="null3"/>
        <w:ind w:firstLine="420"/>
      </w:pPr>
      <w:r>
        <w:rPr>
          <w:sz w:val="21"/>
        </w:rPr>
        <w:t>在本系统建设过程中，其软、硬件的选择应遵循如下的原则：</w:t>
      </w:r>
    </w:p>
    <w:p>
      <w:pPr>
        <w:pStyle w:val="null3"/>
        <w:ind w:firstLine="420"/>
      </w:pPr>
      <w:r>
        <w:rPr>
          <w:sz w:val="21"/>
        </w:rPr>
        <w:t>（</w:t>
      </w:r>
      <w:r>
        <w:rPr>
          <w:sz w:val="21"/>
        </w:rPr>
        <w:t>1</w:t>
      </w:r>
      <w:r>
        <w:rPr>
          <w:sz w:val="21"/>
        </w:rPr>
        <w:t>）</w:t>
      </w:r>
      <w:r>
        <w:rPr>
          <w:sz w:val="21"/>
        </w:rPr>
        <w:t>前瞻</w:t>
      </w:r>
      <w:r>
        <w:rPr>
          <w:sz w:val="21"/>
        </w:rPr>
        <w:t>性</w:t>
      </w:r>
    </w:p>
    <w:p>
      <w:pPr>
        <w:pStyle w:val="null3"/>
        <w:ind w:firstLine="420"/>
      </w:pPr>
      <w:r>
        <w:rPr>
          <w:sz w:val="21"/>
        </w:rPr>
        <w:t>系统架构、技术运用、选型等方面充分考虑业内前瞻性的模式，避免投入即陷入技术落后的现象，选用先进、成熟、主流的技术搭建可升级、可扩展、可兼容的应用系统，符合当前业务及未来发展的需求。</w:t>
      </w:r>
    </w:p>
    <w:p>
      <w:pPr>
        <w:pStyle w:val="null3"/>
        <w:ind w:firstLine="420"/>
      </w:pPr>
      <w:r>
        <w:rPr>
          <w:sz w:val="21"/>
        </w:rPr>
        <w:t>（</w:t>
      </w:r>
      <w:r>
        <w:rPr>
          <w:sz w:val="21"/>
        </w:rPr>
        <w:t>2</w:t>
      </w:r>
      <w:r>
        <w:rPr>
          <w:sz w:val="21"/>
        </w:rPr>
        <w:t>）</w:t>
      </w:r>
      <w:r>
        <w:rPr>
          <w:sz w:val="21"/>
        </w:rPr>
        <w:t>互通性</w:t>
      </w:r>
    </w:p>
    <w:p>
      <w:pPr>
        <w:pStyle w:val="null3"/>
        <w:ind w:firstLine="420"/>
      </w:pPr>
      <w:r>
        <w:rPr>
          <w:sz w:val="21"/>
        </w:rPr>
        <w:t>各系统之间均应能有效地进行数据共享，并与视频图像共享</w:t>
      </w:r>
      <w:r>
        <w:rPr>
          <w:sz w:val="21"/>
        </w:rPr>
        <w:t>/</w:t>
      </w:r>
      <w:r>
        <w:rPr>
          <w:sz w:val="21"/>
        </w:rPr>
        <w:t>联网平台实现交互，应能够实现不同厂商、不同规格的设备或系统间的兼容。本项目建设后的系统（前后端硬件设备、网络和软件）能完全兼容原有视频监控系统。</w:t>
      </w:r>
    </w:p>
    <w:p>
      <w:pPr>
        <w:pStyle w:val="null3"/>
        <w:ind w:firstLine="420"/>
      </w:pPr>
      <w:r>
        <w:rPr>
          <w:sz w:val="21"/>
        </w:rPr>
        <w:t>（</w:t>
      </w:r>
      <w:r>
        <w:rPr>
          <w:sz w:val="21"/>
        </w:rPr>
        <w:t>3</w:t>
      </w:r>
      <w:r>
        <w:rPr>
          <w:sz w:val="21"/>
        </w:rPr>
        <w:t>）</w:t>
      </w:r>
      <w:r>
        <w:rPr>
          <w:sz w:val="21"/>
        </w:rPr>
        <w:t>可靠性</w:t>
      </w:r>
    </w:p>
    <w:p>
      <w:pPr>
        <w:pStyle w:val="null3"/>
        <w:ind w:firstLine="420"/>
      </w:pPr>
      <w:r>
        <w:rPr>
          <w:sz w:val="21"/>
        </w:rPr>
        <w:t>系统应采用成熟的技术和设备，关键设备、关键数据、关键程序模块应有备份或冗余措施，有较强的容错和系统恢复能力，能够保证系统长期正常运行。对系统整体性能有影响的关键设备宜支持集群或热备能力。</w:t>
      </w:r>
    </w:p>
    <w:p>
      <w:pPr>
        <w:pStyle w:val="null3"/>
        <w:ind w:firstLine="420"/>
      </w:pPr>
      <w:r>
        <w:rPr>
          <w:sz w:val="21"/>
        </w:rPr>
        <w:t>（</w:t>
      </w:r>
      <w:r>
        <w:rPr>
          <w:sz w:val="21"/>
        </w:rPr>
        <w:t>4</w:t>
      </w:r>
      <w:r>
        <w:rPr>
          <w:sz w:val="21"/>
        </w:rPr>
        <w:t>）</w:t>
      </w:r>
      <w:r>
        <w:rPr>
          <w:sz w:val="21"/>
        </w:rPr>
        <w:t>规范性</w:t>
      </w:r>
    </w:p>
    <w:p>
      <w:pPr>
        <w:pStyle w:val="null3"/>
        <w:ind w:firstLine="420"/>
      </w:pPr>
      <w:r>
        <w:rPr>
          <w:sz w:val="21"/>
        </w:rPr>
        <w:t>系统的接口协议、视音频信号编解码、视音频文件格式等，应符合相关国家标准、行业标准的规定。</w:t>
      </w:r>
    </w:p>
    <w:p>
      <w:pPr>
        <w:pStyle w:val="null3"/>
        <w:ind w:firstLine="420"/>
      </w:pPr>
      <w:r>
        <w:rPr>
          <w:sz w:val="21"/>
        </w:rPr>
        <w:t>（</w:t>
      </w:r>
      <w:r>
        <w:rPr>
          <w:sz w:val="21"/>
        </w:rPr>
        <w:t>5</w:t>
      </w:r>
      <w:r>
        <w:rPr>
          <w:sz w:val="21"/>
        </w:rPr>
        <w:t>）</w:t>
      </w:r>
      <w:r>
        <w:rPr>
          <w:sz w:val="21"/>
        </w:rPr>
        <w:t>安全性</w:t>
      </w:r>
    </w:p>
    <w:p>
      <w:pPr>
        <w:pStyle w:val="null3"/>
        <w:ind w:firstLine="420"/>
      </w:pPr>
      <w:r>
        <w:rPr>
          <w:sz w:val="21"/>
        </w:rPr>
        <w:t>系统应采取有效的安全保障措施，防止系统被非法接入、非法攻击和病毒感染；接入的设备和用户终端，都需要进行必要的接入认证，以保证接入的安全性；应采取适当的措施保证信息传输过程中的保密性和真实性；系统应具有防雷击、电磁干扰和人为破坏等综合安全防护措施。</w:t>
      </w:r>
    </w:p>
    <w:p>
      <w:pPr>
        <w:pStyle w:val="null3"/>
        <w:ind w:firstLine="420"/>
      </w:pPr>
      <w:r>
        <w:rPr>
          <w:sz w:val="21"/>
        </w:rPr>
        <w:t>（</w:t>
      </w:r>
      <w:r>
        <w:rPr>
          <w:sz w:val="21"/>
        </w:rPr>
        <w:t>6</w:t>
      </w:r>
      <w:r>
        <w:rPr>
          <w:sz w:val="21"/>
        </w:rPr>
        <w:t>）</w:t>
      </w:r>
      <w:r>
        <w:rPr>
          <w:sz w:val="21"/>
        </w:rPr>
        <w:t>易建设性</w:t>
      </w:r>
    </w:p>
    <w:p>
      <w:pPr>
        <w:pStyle w:val="null3"/>
        <w:ind w:firstLine="420"/>
      </w:pPr>
      <w:r>
        <w:rPr>
          <w:sz w:val="21"/>
        </w:rPr>
        <w:t>系统应具备自检功能，在出现故障时，应能快速确定故障点，并及时恢复。系统内的设备、网络、用户、性能和安全等应便于管理和配置。</w:t>
      </w:r>
    </w:p>
    <w:p>
      <w:pPr>
        <w:pStyle w:val="null3"/>
        <w:ind w:firstLine="420"/>
      </w:pPr>
      <w:r>
        <w:rPr>
          <w:sz w:val="21"/>
        </w:rPr>
        <w:t>（</w:t>
      </w:r>
      <w:r>
        <w:rPr>
          <w:sz w:val="21"/>
        </w:rPr>
        <w:t>7</w:t>
      </w:r>
      <w:r>
        <w:rPr>
          <w:sz w:val="21"/>
        </w:rPr>
        <w:t>）</w:t>
      </w:r>
      <w:r>
        <w:rPr>
          <w:sz w:val="21"/>
        </w:rPr>
        <w:t>易操作性</w:t>
      </w:r>
    </w:p>
    <w:p>
      <w:pPr>
        <w:pStyle w:val="null3"/>
        <w:ind w:firstLine="420"/>
      </w:pPr>
      <w:r>
        <w:rPr>
          <w:sz w:val="21"/>
        </w:rPr>
        <w:t>系统应提供清晰、简洁、友好的中文人机交互界面，操作应简便、灵活、易学易用，便于管理和建设。</w:t>
      </w:r>
    </w:p>
    <w:p>
      <w:pPr>
        <w:pStyle w:val="null3"/>
        <w:ind w:firstLine="420"/>
      </w:pPr>
      <w:r>
        <w:rPr>
          <w:sz w:val="21"/>
        </w:rPr>
        <w:t>（</w:t>
      </w:r>
      <w:r>
        <w:rPr>
          <w:sz w:val="21"/>
        </w:rPr>
        <w:t>8</w:t>
      </w:r>
      <w:r>
        <w:rPr>
          <w:sz w:val="21"/>
        </w:rPr>
        <w:t>）</w:t>
      </w:r>
      <w:r>
        <w:rPr>
          <w:sz w:val="21"/>
        </w:rPr>
        <w:t>经济性</w:t>
      </w:r>
    </w:p>
    <w:p>
      <w:pPr>
        <w:pStyle w:val="null3"/>
        <w:ind w:firstLine="420"/>
      </w:pPr>
      <w:r>
        <w:rPr>
          <w:sz w:val="21"/>
        </w:rPr>
        <w:t>在满足系统功能要求，达到系统建设目标的基础上，方案选择充分考虑经济性原则，尽量减少工程总投资和建成后的运行管理费用。</w:t>
      </w:r>
    </w:p>
    <w:p>
      <w:pPr>
        <w:pStyle w:val="null3"/>
        <w:ind w:firstLine="420"/>
      </w:pPr>
      <w:r>
        <w:rPr>
          <w:sz w:val="21"/>
        </w:rPr>
        <w:t>（</w:t>
      </w:r>
      <w:r>
        <w:rPr>
          <w:sz w:val="21"/>
        </w:rPr>
        <w:t>9</w:t>
      </w:r>
      <w:r>
        <w:rPr>
          <w:sz w:val="21"/>
        </w:rPr>
        <w:t>）</w:t>
      </w:r>
      <w:r>
        <w:rPr>
          <w:sz w:val="21"/>
        </w:rPr>
        <w:t>平滑过渡原则</w:t>
      </w:r>
    </w:p>
    <w:p>
      <w:pPr>
        <w:pStyle w:val="null3"/>
        <w:ind w:firstLine="420"/>
      </w:pPr>
      <w:r>
        <w:rPr>
          <w:sz w:val="21"/>
        </w:rPr>
        <w:t>为了保证系统的平稳过渡和工程衔接，在项目建设期间，应保障现有系统、设备的正常运行，应保障建设期间的系统的平稳过渡。在项目建设期间，应保障现有高清监控图像的实时在线率；视频传输应充分利用已有的视频专网线路带宽，以此共同保障建设期间的系统的平稳过渡。</w:t>
      </w:r>
    </w:p>
    <w:p>
      <w:pPr>
        <w:pStyle w:val="null3"/>
        <w:ind w:firstLine="420"/>
      </w:pPr>
      <w:r>
        <w:rPr>
          <w:sz w:val="21"/>
        </w:rPr>
        <w:t>（</w:t>
      </w:r>
      <w:r>
        <w:rPr>
          <w:sz w:val="21"/>
        </w:rPr>
        <w:t>10</w:t>
      </w:r>
      <w:r>
        <w:rPr>
          <w:sz w:val="21"/>
        </w:rPr>
        <w:t>）</w:t>
      </w:r>
      <w:r>
        <w:rPr>
          <w:sz w:val="21"/>
        </w:rPr>
        <w:t>兼容性原则</w:t>
      </w:r>
    </w:p>
    <w:p>
      <w:pPr>
        <w:pStyle w:val="null3"/>
        <w:ind w:firstLine="420"/>
      </w:pPr>
      <w:r>
        <w:rPr>
          <w:sz w:val="21"/>
        </w:rPr>
        <w:t>本项目新建或升级改造的前端监控系统（前后端硬件设备）能完全兼容民众分局已建的视频监控系统。</w:t>
      </w:r>
    </w:p>
    <w:p>
      <w:pPr>
        <w:pStyle w:val="null3"/>
        <w:ind w:firstLine="420"/>
      </w:pPr>
      <w:r>
        <w:rPr>
          <w:sz w:val="21"/>
          <w:b/>
        </w:rPr>
        <w:t>5.</w:t>
      </w:r>
      <w:r>
        <w:rPr>
          <w:sz w:val="21"/>
          <w:b/>
        </w:rPr>
        <w:t>项目合理使用年限</w:t>
      </w:r>
    </w:p>
    <w:p>
      <w:pPr>
        <w:pStyle w:val="null3"/>
        <w:ind w:firstLine="420"/>
      </w:pPr>
      <w:r>
        <w:rPr>
          <w:sz w:val="21"/>
        </w:rPr>
        <w:t>根据规定，不同类型建设工程的使用年限不同，本项目涉及的智能化设备使用年限不少于</w:t>
      </w:r>
      <w:r>
        <w:rPr>
          <w:sz w:val="21"/>
        </w:rPr>
        <w:t>6</w:t>
      </w:r>
      <w:r>
        <w:rPr>
          <w:sz w:val="21"/>
        </w:rPr>
        <w:t>年，杆体等基础设施使用年限不少于</w:t>
      </w:r>
      <w:r>
        <w:rPr>
          <w:sz w:val="21"/>
        </w:rPr>
        <w:t>30</w:t>
      </w:r>
      <w:r>
        <w:rPr>
          <w:sz w:val="21"/>
        </w:rPr>
        <w:t>年。</w:t>
      </w:r>
    </w:p>
    <w:p>
      <w:pPr>
        <w:pStyle w:val="null3"/>
        <w:ind w:firstLine="420"/>
      </w:pPr>
      <w:r>
        <w:rPr>
          <w:sz w:val="21"/>
          <w:b/>
        </w:rPr>
        <w:t>三、</w:t>
      </w:r>
      <w:r>
        <w:rPr>
          <w:sz w:val="21"/>
          <w:b/>
        </w:rPr>
        <w:t>项目现状与需求</w:t>
      </w:r>
    </w:p>
    <w:p>
      <w:pPr>
        <w:pStyle w:val="null3"/>
        <w:ind w:firstLine="420"/>
      </w:pPr>
      <w:r>
        <w:rPr>
          <w:sz w:val="21"/>
          <w:b/>
        </w:rPr>
        <w:t>1.建设现状</w:t>
      </w:r>
    </w:p>
    <w:p>
      <w:pPr>
        <w:pStyle w:val="null3"/>
        <w:ind w:firstLine="420"/>
      </w:pPr>
      <w:r>
        <w:rPr>
          <w:sz w:val="21"/>
          <w:b/>
        </w:rPr>
        <w:t>1.1.民众镇视频监控建设现状</w:t>
      </w:r>
    </w:p>
    <w:p>
      <w:pPr>
        <w:pStyle w:val="null3"/>
        <w:ind w:firstLine="420"/>
      </w:pPr>
      <w:r>
        <w:rPr>
          <w:sz w:val="21"/>
        </w:rPr>
        <w:t>统计至</w:t>
      </w:r>
      <w:r>
        <w:rPr>
          <w:sz w:val="21"/>
        </w:rPr>
        <w:t>2024年11月，民众街道已建设189路一类点视频监控设备，另外建设村村通视频监控88路。分局于民众街道</w:t>
      </w:r>
      <w:r>
        <w:rPr>
          <w:sz w:val="21"/>
        </w:rPr>
        <w:t>19</w:t>
      </w:r>
      <w:r>
        <w:rPr>
          <w:sz w:val="21"/>
        </w:rPr>
        <w:t>个社区及村，具体分布如下所示</w:t>
      </w:r>
      <w:r>
        <w:rPr>
          <w:sz w:val="21"/>
        </w:rPr>
        <w:t>：</w:t>
      </w:r>
    </w:p>
    <w:tbl>
      <w:tblPr>
        <w:tblW w:w="0" w:type="auto"/>
        <w:tblBorders>
          <w:top w:val="none" w:color="000000" w:sz="4"/>
          <w:left w:val="none" w:color="000000" w:sz="4"/>
          <w:bottom w:val="none" w:color="000000" w:sz="4"/>
          <w:right w:val="none" w:color="000000" w:sz="4"/>
          <w:insideH w:val="none"/>
          <w:insideV w:val="none"/>
        </w:tblBorders>
      </w:tblPr>
      <w:tblGrid>
        <w:gridCol w:w="746"/>
        <w:gridCol w:w="2437"/>
        <w:gridCol w:w="776"/>
        <w:gridCol w:w="776"/>
        <w:gridCol w:w="831"/>
        <w:gridCol w:w="859"/>
        <w:gridCol w:w="937"/>
        <w:gridCol w:w="939"/>
      </w:tblGrid>
      <w:tr>
        <w:tc>
          <w:tcPr>
            <w:tcW w:type="dxa" w:w="746"/>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序列</w:t>
            </w:r>
          </w:p>
        </w:tc>
        <w:tc>
          <w:tcPr>
            <w:tcW w:type="dxa" w:w="2437"/>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村（社区）</w:t>
            </w:r>
          </w:p>
        </w:tc>
        <w:tc>
          <w:tcPr>
            <w:tcW w:type="dxa" w:w="776"/>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一期</w:t>
            </w:r>
          </w:p>
        </w:tc>
        <w:tc>
          <w:tcPr>
            <w:tcW w:type="dxa" w:w="776"/>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二期</w:t>
            </w:r>
          </w:p>
        </w:tc>
        <w:tc>
          <w:tcPr>
            <w:tcW w:type="dxa" w:w="831"/>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三期</w:t>
            </w:r>
          </w:p>
        </w:tc>
        <w:tc>
          <w:tcPr>
            <w:tcW w:type="dxa" w:w="859"/>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四期</w:t>
            </w:r>
          </w:p>
        </w:tc>
        <w:tc>
          <w:tcPr>
            <w:tcW w:type="dxa" w:w="937"/>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村村通</w:t>
            </w:r>
          </w:p>
        </w:tc>
        <w:tc>
          <w:tcPr>
            <w:tcW w:type="dxa" w:w="939"/>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合计</w:t>
            </w:r>
          </w:p>
        </w:tc>
      </w:tr>
      <w:tr>
        <w:tc>
          <w:tcPr>
            <w:tcW w:type="dxa" w:w="74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c>
          <w:tcPr>
            <w:tcW w:type="dxa" w:w="24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新伦村</w:t>
            </w:r>
          </w:p>
        </w:tc>
        <w:tc>
          <w:tcPr>
            <w:tcW w:type="dxa" w:w="77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w:t>
            </w:r>
          </w:p>
        </w:tc>
        <w:tc>
          <w:tcPr>
            <w:tcW w:type="dxa" w:w="77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0</w:t>
            </w:r>
          </w:p>
        </w:tc>
        <w:tc>
          <w:tcPr>
            <w:tcW w:type="dxa" w:w="83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w:t>
            </w:r>
          </w:p>
        </w:tc>
        <w:tc>
          <w:tcPr>
            <w:tcW w:type="dxa" w:w="85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c>
          <w:tcPr>
            <w:tcW w:type="dxa" w:w="9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5</w:t>
            </w:r>
          </w:p>
        </w:tc>
        <w:tc>
          <w:tcPr>
            <w:tcW w:type="dxa" w:w="93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10</w:t>
            </w:r>
          </w:p>
        </w:tc>
      </w:tr>
      <w:tr>
        <w:tc>
          <w:tcPr>
            <w:tcW w:type="dxa" w:w="74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w:t>
            </w:r>
          </w:p>
        </w:tc>
        <w:tc>
          <w:tcPr>
            <w:tcW w:type="dxa" w:w="24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锦标村</w:t>
            </w:r>
          </w:p>
        </w:tc>
        <w:tc>
          <w:tcPr>
            <w:tcW w:type="dxa" w:w="77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3</w:t>
            </w:r>
          </w:p>
        </w:tc>
        <w:tc>
          <w:tcPr>
            <w:tcW w:type="dxa" w:w="77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w:t>
            </w:r>
          </w:p>
        </w:tc>
        <w:tc>
          <w:tcPr>
            <w:tcW w:type="dxa" w:w="83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6</w:t>
            </w:r>
          </w:p>
        </w:tc>
        <w:tc>
          <w:tcPr>
            <w:tcW w:type="dxa" w:w="85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4</w:t>
            </w:r>
          </w:p>
        </w:tc>
        <w:tc>
          <w:tcPr>
            <w:tcW w:type="dxa" w:w="9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4</w:t>
            </w:r>
          </w:p>
        </w:tc>
        <w:tc>
          <w:tcPr>
            <w:tcW w:type="dxa" w:w="93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19</w:t>
            </w:r>
          </w:p>
        </w:tc>
      </w:tr>
      <w:tr>
        <w:tc>
          <w:tcPr>
            <w:tcW w:type="dxa" w:w="74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3</w:t>
            </w:r>
          </w:p>
        </w:tc>
        <w:tc>
          <w:tcPr>
            <w:tcW w:type="dxa" w:w="24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三墩村</w:t>
            </w:r>
          </w:p>
        </w:tc>
        <w:tc>
          <w:tcPr>
            <w:tcW w:type="dxa" w:w="77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c>
          <w:tcPr>
            <w:tcW w:type="dxa" w:w="77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0</w:t>
            </w:r>
          </w:p>
        </w:tc>
        <w:tc>
          <w:tcPr>
            <w:tcW w:type="dxa" w:w="83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w:t>
            </w:r>
          </w:p>
        </w:tc>
        <w:tc>
          <w:tcPr>
            <w:tcW w:type="dxa" w:w="85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c>
          <w:tcPr>
            <w:tcW w:type="dxa" w:w="9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10</w:t>
            </w:r>
          </w:p>
        </w:tc>
        <w:tc>
          <w:tcPr>
            <w:tcW w:type="dxa" w:w="93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14</w:t>
            </w:r>
          </w:p>
        </w:tc>
      </w:tr>
      <w:tr>
        <w:tc>
          <w:tcPr>
            <w:tcW w:type="dxa" w:w="74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4</w:t>
            </w:r>
          </w:p>
        </w:tc>
        <w:tc>
          <w:tcPr>
            <w:tcW w:type="dxa" w:w="24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民平村</w:t>
            </w:r>
          </w:p>
        </w:tc>
        <w:tc>
          <w:tcPr>
            <w:tcW w:type="dxa" w:w="77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0</w:t>
            </w:r>
          </w:p>
        </w:tc>
        <w:tc>
          <w:tcPr>
            <w:tcW w:type="dxa" w:w="77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0</w:t>
            </w:r>
          </w:p>
        </w:tc>
        <w:tc>
          <w:tcPr>
            <w:tcW w:type="dxa" w:w="83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c>
          <w:tcPr>
            <w:tcW w:type="dxa" w:w="85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0</w:t>
            </w:r>
          </w:p>
        </w:tc>
        <w:tc>
          <w:tcPr>
            <w:tcW w:type="dxa" w:w="9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3</w:t>
            </w:r>
          </w:p>
        </w:tc>
        <w:tc>
          <w:tcPr>
            <w:tcW w:type="dxa" w:w="93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4</w:t>
            </w:r>
          </w:p>
        </w:tc>
      </w:tr>
      <w:tr>
        <w:tc>
          <w:tcPr>
            <w:tcW w:type="dxa" w:w="74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5</w:t>
            </w:r>
          </w:p>
        </w:tc>
        <w:tc>
          <w:tcPr>
            <w:tcW w:type="dxa" w:w="24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义仓村</w:t>
            </w:r>
          </w:p>
        </w:tc>
        <w:tc>
          <w:tcPr>
            <w:tcW w:type="dxa" w:w="77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w:t>
            </w:r>
          </w:p>
        </w:tc>
        <w:tc>
          <w:tcPr>
            <w:tcW w:type="dxa" w:w="77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0</w:t>
            </w:r>
          </w:p>
        </w:tc>
        <w:tc>
          <w:tcPr>
            <w:tcW w:type="dxa" w:w="83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c>
          <w:tcPr>
            <w:tcW w:type="dxa" w:w="85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c>
          <w:tcPr>
            <w:tcW w:type="dxa" w:w="9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w:t>
            </w:r>
          </w:p>
        </w:tc>
        <w:tc>
          <w:tcPr>
            <w:tcW w:type="dxa" w:w="93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6</w:t>
            </w:r>
          </w:p>
        </w:tc>
      </w:tr>
      <w:tr>
        <w:tc>
          <w:tcPr>
            <w:tcW w:type="dxa" w:w="74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6</w:t>
            </w:r>
          </w:p>
        </w:tc>
        <w:tc>
          <w:tcPr>
            <w:tcW w:type="dxa" w:w="24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裕安村</w:t>
            </w:r>
          </w:p>
        </w:tc>
        <w:tc>
          <w:tcPr>
            <w:tcW w:type="dxa" w:w="77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c>
          <w:tcPr>
            <w:tcW w:type="dxa" w:w="77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0</w:t>
            </w:r>
          </w:p>
        </w:tc>
        <w:tc>
          <w:tcPr>
            <w:tcW w:type="dxa" w:w="83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c>
          <w:tcPr>
            <w:tcW w:type="dxa" w:w="85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0</w:t>
            </w:r>
          </w:p>
        </w:tc>
        <w:tc>
          <w:tcPr>
            <w:tcW w:type="dxa" w:w="9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4</w:t>
            </w:r>
          </w:p>
        </w:tc>
        <w:tc>
          <w:tcPr>
            <w:tcW w:type="dxa" w:w="93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6</w:t>
            </w:r>
          </w:p>
        </w:tc>
      </w:tr>
      <w:tr>
        <w:tc>
          <w:tcPr>
            <w:tcW w:type="dxa" w:w="74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7</w:t>
            </w:r>
          </w:p>
        </w:tc>
        <w:tc>
          <w:tcPr>
            <w:tcW w:type="dxa" w:w="24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新平村</w:t>
            </w:r>
          </w:p>
        </w:tc>
        <w:tc>
          <w:tcPr>
            <w:tcW w:type="dxa" w:w="77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3</w:t>
            </w:r>
          </w:p>
        </w:tc>
        <w:tc>
          <w:tcPr>
            <w:tcW w:type="dxa" w:w="77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c>
          <w:tcPr>
            <w:tcW w:type="dxa" w:w="83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w:t>
            </w:r>
          </w:p>
        </w:tc>
        <w:tc>
          <w:tcPr>
            <w:tcW w:type="dxa" w:w="85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0</w:t>
            </w:r>
          </w:p>
        </w:tc>
        <w:tc>
          <w:tcPr>
            <w:tcW w:type="dxa" w:w="9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5</w:t>
            </w:r>
          </w:p>
        </w:tc>
        <w:tc>
          <w:tcPr>
            <w:tcW w:type="dxa" w:w="93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11</w:t>
            </w:r>
          </w:p>
        </w:tc>
      </w:tr>
      <w:tr>
        <w:tc>
          <w:tcPr>
            <w:tcW w:type="dxa" w:w="74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8</w:t>
            </w:r>
          </w:p>
        </w:tc>
        <w:tc>
          <w:tcPr>
            <w:tcW w:type="dxa" w:w="24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新平四村</w:t>
            </w:r>
          </w:p>
        </w:tc>
        <w:tc>
          <w:tcPr>
            <w:tcW w:type="dxa" w:w="77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0</w:t>
            </w:r>
          </w:p>
        </w:tc>
        <w:tc>
          <w:tcPr>
            <w:tcW w:type="dxa" w:w="77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0</w:t>
            </w:r>
          </w:p>
        </w:tc>
        <w:tc>
          <w:tcPr>
            <w:tcW w:type="dxa" w:w="83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0</w:t>
            </w:r>
          </w:p>
        </w:tc>
        <w:tc>
          <w:tcPr>
            <w:tcW w:type="dxa" w:w="85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0</w:t>
            </w:r>
          </w:p>
        </w:tc>
        <w:tc>
          <w:tcPr>
            <w:tcW w:type="dxa" w:w="9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3</w:t>
            </w:r>
          </w:p>
        </w:tc>
        <w:tc>
          <w:tcPr>
            <w:tcW w:type="dxa" w:w="93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3</w:t>
            </w:r>
          </w:p>
        </w:tc>
      </w:tr>
      <w:tr>
        <w:tc>
          <w:tcPr>
            <w:tcW w:type="dxa" w:w="74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9</w:t>
            </w:r>
          </w:p>
        </w:tc>
        <w:tc>
          <w:tcPr>
            <w:tcW w:type="dxa" w:w="24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沿江村</w:t>
            </w:r>
          </w:p>
        </w:tc>
        <w:tc>
          <w:tcPr>
            <w:tcW w:type="dxa" w:w="77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c>
          <w:tcPr>
            <w:tcW w:type="dxa" w:w="77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0</w:t>
            </w:r>
          </w:p>
        </w:tc>
        <w:tc>
          <w:tcPr>
            <w:tcW w:type="dxa" w:w="83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5</w:t>
            </w:r>
          </w:p>
        </w:tc>
        <w:tc>
          <w:tcPr>
            <w:tcW w:type="dxa" w:w="85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0</w:t>
            </w:r>
          </w:p>
        </w:tc>
        <w:tc>
          <w:tcPr>
            <w:tcW w:type="dxa" w:w="9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5</w:t>
            </w:r>
          </w:p>
        </w:tc>
        <w:tc>
          <w:tcPr>
            <w:tcW w:type="dxa" w:w="93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11</w:t>
            </w:r>
          </w:p>
        </w:tc>
      </w:tr>
      <w:tr>
        <w:tc>
          <w:tcPr>
            <w:tcW w:type="dxa" w:w="74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10</w:t>
            </w:r>
          </w:p>
        </w:tc>
        <w:tc>
          <w:tcPr>
            <w:tcW w:type="dxa" w:w="24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接源村</w:t>
            </w:r>
          </w:p>
        </w:tc>
        <w:tc>
          <w:tcPr>
            <w:tcW w:type="dxa" w:w="77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3</w:t>
            </w:r>
          </w:p>
        </w:tc>
        <w:tc>
          <w:tcPr>
            <w:tcW w:type="dxa" w:w="77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0</w:t>
            </w:r>
          </w:p>
        </w:tc>
        <w:tc>
          <w:tcPr>
            <w:tcW w:type="dxa" w:w="83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3</w:t>
            </w:r>
          </w:p>
        </w:tc>
        <w:tc>
          <w:tcPr>
            <w:tcW w:type="dxa" w:w="85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5</w:t>
            </w:r>
          </w:p>
        </w:tc>
        <w:tc>
          <w:tcPr>
            <w:tcW w:type="dxa" w:w="9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5</w:t>
            </w:r>
          </w:p>
        </w:tc>
        <w:tc>
          <w:tcPr>
            <w:tcW w:type="dxa" w:w="93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16</w:t>
            </w:r>
          </w:p>
        </w:tc>
      </w:tr>
      <w:tr>
        <w:tc>
          <w:tcPr>
            <w:tcW w:type="dxa" w:w="74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11</w:t>
            </w:r>
          </w:p>
        </w:tc>
        <w:tc>
          <w:tcPr>
            <w:tcW w:type="dxa" w:w="24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群安村</w:t>
            </w:r>
          </w:p>
        </w:tc>
        <w:tc>
          <w:tcPr>
            <w:tcW w:type="dxa" w:w="77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0</w:t>
            </w:r>
          </w:p>
        </w:tc>
        <w:tc>
          <w:tcPr>
            <w:tcW w:type="dxa" w:w="77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0</w:t>
            </w:r>
          </w:p>
        </w:tc>
        <w:tc>
          <w:tcPr>
            <w:tcW w:type="dxa" w:w="83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0</w:t>
            </w:r>
          </w:p>
        </w:tc>
        <w:tc>
          <w:tcPr>
            <w:tcW w:type="dxa" w:w="85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0</w:t>
            </w:r>
          </w:p>
        </w:tc>
        <w:tc>
          <w:tcPr>
            <w:tcW w:type="dxa" w:w="9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5</w:t>
            </w:r>
          </w:p>
        </w:tc>
        <w:tc>
          <w:tcPr>
            <w:tcW w:type="dxa" w:w="93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5</w:t>
            </w:r>
          </w:p>
        </w:tc>
      </w:tr>
      <w:tr>
        <w:tc>
          <w:tcPr>
            <w:tcW w:type="dxa" w:w="74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12</w:t>
            </w:r>
          </w:p>
        </w:tc>
        <w:tc>
          <w:tcPr>
            <w:tcW w:type="dxa" w:w="24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新建村</w:t>
            </w:r>
          </w:p>
        </w:tc>
        <w:tc>
          <w:tcPr>
            <w:tcW w:type="dxa" w:w="77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w:t>
            </w:r>
          </w:p>
        </w:tc>
        <w:tc>
          <w:tcPr>
            <w:tcW w:type="dxa" w:w="77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0</w:t>
            </w:r>
          </w:p>
        </w:tc>
        <w:tc>
          <w:tcPr>
            <w:tcW w:type="dxa" w:w="83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c>
          <w:tcPr>
            <w:tcW w:type="dxa" w:w="85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c>
          <w:tcPr>
            <w:tcW w:type="dxa" w:w="9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7</w:t>
            </w:r>
          </w:p>
        </w:tc>
        <w:tc>
          <w:tcPr>
            <w:tcW w:type="dxa" w:w="93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11</w:t>
            </w:r>
          </w:p>
        </w:tc>
      </w:tr>
      <w:tr>
        <w:tc>
          <w:tcPr>
            <w:tcW w:type="dxa" w:w="74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13</w:t>
            </w:r>
          </w:p>
        </w:tc>
        <w:tc>
          <w:tcPr>
            <w:tcW w:type="dxa" w:w="24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沙仔村（含新平一、五四村）</w:t>
            </w:r>
          </w:p>
        </w:tc>
        <w:tc>
          <w:tcPr>
            <w:tcW w:type="dxa" w:w="77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7</w:t>
            </w:r>
          </w:p>
        </w:tc>
        <w:tc>
          <w:tcPr>
            <w:tcW w:type="dxa" w:w="77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3</w:t>
            </w:r>
          </w:p>
        </w:tc>
        <w:tc>
          <w:tcPr>
            <w:tcW w:type="dxa" w:w="83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7</w:t>
            </w:r>
          </w:p>
        </w:tc>
        <w:tc>
          <w:tcPr>
            <w:tcW w:type="dxa" w:w="85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4</w:t>
            </w:r>
          </w:p>
        </w:tc>
        <w:tc>
          <w:tcPr>
            <w:tcW w:type="dxa" w:w="9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w:t>
            </w:r>
          </w:p>
        </w:tc>
        <w:tc>
          <w:tcPr>
            <w:tcW w:type="dxa" w:w="93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23</w:t>
            </w:r>
          </w:p>
        </w:tc>
      </w:tr>
      <w:tr>
        <w:tc>
          <w:tcPr>
            <w:tcW w:type="dxa" w:w="74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14</w:t>
            </w:r>
          </w:p>
        </w:tc>
        <w:tc>
          <w:tcPr>
            <w:tcW w:type="dxa" w:w="24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浪网村</w:t>
            </w:r>
          </w:p>
        </w:tc>
        <w:tc>
          <w:tcPr>
            <w:tcW w:type="dxa" w:w="77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9</w:t>
            </w:r>
          </w:p>
        </w:tc>
        <w:tc>
          <w:tcPr>
            <w:tcW w:type="dxa" w:w="77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w:t>
            </w:r>
          </w:p>
        </w:tc>
        <w:tc>
          <w:tcPr>
            <w:tcW w:type="dxa" w:w="83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14</w:t>
            </w:r>
          </w:p>
        </w:tc>
        <w:tc>
          <w:tcPr>
            <w:tcW w:type="dxa" w:w="85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6</w:t>
            </w:r>
          </w:p>
        </w:tc>
        <w:tc>
          <w:tcPr>
            <w:tcW w:type="dxa" w:w="9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10</w:t>
            </w:r>
          </w:p>
        </w:tc>
        <w:tc>
          <w:tcPr>
            <w:tcW w:type="dxa" w:w="93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41</w:t>
            </w:r>
          </w:p>
        </w:tc>
      </w:tr>
      <w:tr>
        <w:tc>
          <w:tcPr>
            <w:tcW w:type="dxa" w:w="74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15</w:t>
            </w:r>
          </w:p>
        </w:tc>
        <w:tc>
          <w:tcPr>
            <w:tcW w:type="dxa" w:w="24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上网村</w:t>
            </w:r>
          </w:p>
        </w:tc>
        <w:tc>
          <w:tcPr>
            <w:tcW w:type="dxa" w:w="77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w:t>
            </w:r>
          </w:p>
        </w:tc>
        <w:tc>
          <w:tcPr>
            <w:tcW w:type="dxa" w:w="77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0</w:t>
            </w:r>
          </w:p>
        </w:tc>
        <w:tc>
          <w:tcPr>
            <w:tcW w:type="dxa" w:w="83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c>
          <w:tcPr>
            <w:tcW w:type="dxa" w:w="85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0</w:t>
            </w:r>
          </w:p>
        </w:tc>
        <w:tc>
          <w:tcPr>
            <w:tcW w:type="dxa" w:w="9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7</w:t>
            </w:r>
          </w:p>
        </w:tc>
        <w:tc>
          <w:tcPr>
            <w:tcW w:type="dxa" w:w="93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10</w:t>
            </w:r>
          </w:p>
        </w:tc>
      </w:tr>
      <w:tr>
        <w:tc>
          <w:tcPr>
            <w:tcW w:type="dxa" w:w="74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16</w:t>
            </w:r>
          </w:p>
        </w:tc>
        <w:tc>
          <w:tcPr>
            <w:tcW w:type="dxa" w:w="24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东胜村</w:t>
            </w:r>
          </w:p>
        </w:tc>
        <w:tc>
          <w:tcPr>
            <w:tcW w:type="dxa" w:w="77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0</w:t>
            </w:r>
          </w:p>
        </w:tc>
        <w:tc>
          <w:tcPr>
            <w:tcW w:type="dxa" w:w="77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0</w:t>
            </w:r>
          </w:p>
        </w:tc>
        <w:tc>
          <w:tcPr>
            <w:tcW w:type="dxa" w:w="83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0</w:t>
            </w:r>
          </w:p>
        </w:tc>
        <w:tc>
          <w:tcPr>
            <w:tcW w:type="dxa" w:w="85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0</w:t>
            </w:r>
          </w:p>
        </w:tc>
        <w:tc>
          <w:tcPr>
            <w:tcW w:type="dxa" w:w="9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0</w:t>
            </w:r>
          </w:p>
        </w:tc>
        <w:tc>
          <w:tcPr>
            <w:tcW w:type="dxa" w:w="93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0</w:t>
            </w:r>
          </w:p>
        </w:tc>
      </w:tr>
      <w:tr>
        <w:tc>
          <w:tcPr>
            <w:tcW w:type="dxa" w:w="74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17</w:t>
            </w:r>
          </w:p>
        </w:tc>
        <w:tc>
          <w:tcPr>
            <w:tcW w:type="dxa" w:w="24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民众社区</w:t>
            </w:r>
          </w:p>
        </w:tc>
        <w:tc>
          <w:tcPr>
            <w:tcW w:type="dxa" w:w="77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31</w:t>
            </w:r>
          </w:p>
        </w:tc>
        <w:tc>
          <w:tcPr>
            <w:tcW w:type="dxa" w:w="77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8</w:t>
            </w:r>
          </w:p>
        </w:tc>
        <w:tc>
          <w:tcPr>
            <w:tcW w:type="dxa" w:w="83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19</w:t>
            </w:r>
          </w:p>
        </w:tc>
        <w:tc>
          <w:tcPr>
            <w:tcW w:type="dxa" w:w="85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13</w:t>
            </w:r>
          </w:p>
        </w:tc>
        <w:tc>
          <w:tcPr>
            <w:tcW w:type="dxa" w:w="9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7</w:t>
            </w:r>
          </w:p>
        </w:tc>
        <w:tc>
          <w:tcPr>
            <w:tcW w:type="dxa" w:w="93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78</w:t>
            </w:r>
          </w:p>
        </w:tc>
      </w:tr>
      <w:tr>
        <w:tc>
          <w:tcPr>
            <w:tcW w:type="dxa" w:w="74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18</w:t>
            </w:r>
          </w:p>
        </w:tc>
        <w:tc>
          <w:tcPr>
            <w:tcW w:type="dxa" w:w="24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多宝社区</w:t>
            </w:r>
          </w:p>
        </w:tc>
        <w:tc>
          <w:tcPr>
            <w:tcW w:type="dxa" w:w="77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c>
          <w:tcPr>
            <w:tcW w:type="dxa" w:w="77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c>
          <w:tcPr>
            <w:tcW w:type="dxa" w:w="83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w:t>
            </w:r>
          </w:p>
        </w:tc>
        <w:tc>
          <w:tcPr>
            <w:tcW w:type="dxa" w:w="85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c>
          <w:tcPr>
            <w:tcW w:type="dxa" w:w="9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4</w:t>
            </w:r>
          </w:p>
        </w:tc>
        <w:tc>
          <w:tcPr>
            <w:tcW w:type="dxa" w:w="93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9</w:t>
            </w:r>
          </w:p>
        </w:tc>
      </w:tr>
      <w:tr>
        <w:tc>
          <w:tcPr>
            <w:tcW w:type="dxa" w:w="74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24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合计</w:t>
            </w:r>
          </w:p>
        </w:tc>
        <w:tc>
          <w:tcPr>
            <w:tcW w:type="dxa" w:w="77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68</w:t>
            </w:r>
          </w:p>
        </w:tc>
        <w:tc>
          <w:tcPr>
            <w:tcW w:type="dxa" w:w="77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17</w:t>
            </w:r>
          </w:p>
        </w:tc>
        <w:tc>
          <w:tcPr>
            <w:tcW w:type="dxa" w:w="83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67</w:t>
            </w:r>
          </w:p>
        </w:tc>
        <w:tc>
          <w:tcPr>
            <w:tcW w:type="dxa" w:w="85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37</w:t>
            </w:r>
          </w:p>
        </w:tc>
        <w:tc>
          <w:tcPr>
            <w:tcW w:type="dxa" w:w="9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88</w:t>
            </w:r>
          </w:p>
        </w:tc>
        <w:tc>
          <w:tcPr>
            <w:tcW w:type="dxa" w:w="93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277</w:t>
            </w:r>
          </w:p>
        </w:tc>
      </w:tr>
    </w:tbl>
    <w:p>
      <w:pPr>
        <w:pStyle w:val="null3"/>
        <w:ind w:firstLine="420"/>
      </w:pPr>
      <w:r>
        <w:rPr>
          <w:sz w:val="21"/>
        </w:rPr>
        <w:t>项目运维截止时间如下所示：</w:t>
      </w:r>
    </w:p>
    <w:tbl>
      <w:tblPr>
        <w:tblW w:w="0" w:type="auto"/>
        <w:tblBorders>
          <w:top w:val="none" w:color="000000" w:sz="4"/>
          <w:left w:val="none" w:color="000000" w:sz="4"/>
          <w:bottom w:val="none" w:color="000000" w:sz="4"/>
          <w:right w:val="none" w:color="000000" w:sz="4"/>
          <w:insideH w:val="none"/>
          <w:insideV w:val="none"/>
        </w:tblBorders>
      </w:tblPr>
      <w:tblGrid>
        <w:gridCol w:w="738"/>
        <w:gridCol w:w="1863"/>
        <w:gridCol w:w="1075"/>
        <w:gridCol w:w="2112"/>
        <w:gridCol w:w="1258"/>
        <w:gridCol w:w="1258"/>
      </w:tblGrid>
      <w:tr>
        <w:tc>
          <w:tcPr>
            <w:tcW w:type="dxa" w:w="738"/>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序号</w:t>
            </w:r>
          </w:p>
        </w:tc>
        <w:tc>
          <w:tcPr>
            <w:tcW w:type="dxa" w:w="1863"/>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建设对象</w:t>
            </w:r>
          </w:p>
        </w:tc>
        <w:tc>
          <w:tcPr>
            <w:tcW w:type="dxa" w:w="1075"/>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项目验收时间</w:t>
            </w:r>
          </w:p>
        </w:tc>
        <w:tc>
          <w:tcPr>
            <w:tcW w:type="dxa" w:w="2112"/>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运维时间</w:t>
            </w:r>
          </w:p>
        </w:tc>
        <w:tc>
          <w:tcPr>
            <w:tcW w:type="dxa" w:w="1258"/>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建设截止时间</w:t>
            </w:r>
          </w:p>
        </w:tc>
        <w:tc>
          <w:tcPr>
            <w:tcW w:type="dxa" w:w="1258"/>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运维情况</w:t>
            </w:r>
          </w:p>
        </w:tc>
      </w:tr>
      <w:tr>
        <w:tc>
          <w:tcPr>
            <w:tcW w:type="dxa" w:w="73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1</w:t>
            </w:r>
          </w:p>
        </w:tc>
        <w:tc>
          <w:tcPr>
            <w:tcW w:type="dxa" w:w="186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视频监控系统一期升级改造</w:t>
            </w:r>
          </w:p>
        </w:tc>
        <w:tc>
          <w:tcPr>
            <w:tcW w:type="dxa" w:w="10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2017年12月31日</w:t>
            </w:r>
          </w:p>
        </w:tc>
        <w:tc>
          <w:tcPr>
            <w:tcW w:type="dxa" w:w="211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原合同维护期</w:t>
            </w:r>
            <w:r>
              <w:rPr>
                <w:sz w:val="21"/>
                <w:b/>
              </w:rPr>
              <w:t>72个月，</w:t>
            </w:r>
            <w:r>
              <w:br/>
            </w:r>
            <w:r>
              <w:rPr>
                <w:sz w:val="21"/>
                <w:b/>
              </w:rPr>
              <w:t>另外立项运维</w:t>
            </w:r>
            <w:r>
              <w:rPr>
                <w:sz w:val="21"/>
                <w:b/>
              </w:rPr>
              <w:t>12个月</w:t>
            </w:r>
          </w:p>
        </w:tc>
        <w:tc>
          <w:tcPr>
            <w:tcW w:type="dxa" w:w="125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2014年12月31日</w:t>
            </w:r>
          </w:p>
        </w:tc>
        <w:tc>
          <w:tcPr>
            <w:tcW w:type="dxa" w:w="125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已到期</w:t>
            </w:r>
          </w:p>
        </w:tc>
      </w:tr>
      <w:tr>
        <w:tc>
          <w:tcPr>
            <w:tcW w:type="dxa" w:w="73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2</w:t>
            </w:r>
          </w:p>
        </w:tc>
        <w:tc>
          <w:tcPr>
            <w:tcW w:type="dxa" w:w="186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视频监控系统二期升级改造</w:t>
            </w:r>
          </w:p>
        </w:tc>
        <w:tc>
          <w:tcPr>
            <w:tcW w:type="dxa" w:w="10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2020年4月23日</w:t>
            </w:r>
          </w:p>
        </w:tc>
        <w:tc>
          <w:tcPr>
            <w:tcW w:type="dxa" w:w="211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原合同维护期</w:t>
            </w:r>
            <w:r>
              <w:rPr>
                <w:sz w:val="21"/>
                <w:b/>
              </w:rPr>
              <w:t>39个月（36个月赠送3合约）</w:t>
            </w:r>
          </w:p>
        </w:tc>
        <w:tc>
          <w:tcPr>
            <w:tcW w:type="dxa" w:w="125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2023年7月31日</w:t>
            </w:r>
          </w:p>
        </w:tc>
        <w:tc>
          <w:tcPr>
            <w:tcW w:type="dxa" w:w="125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已到期</w:t>
            </w:r>
          </w:p>
        </w:tc>
      </w:tr>
      <w:tr>
        <w:tc>
          <w:tcPr>
            <w:tcW w:type="dxa" w:w="73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3</w:t>
            </w:r>
          </w:p>
        </w:tc>
        <w:tc>
          <w:tcPr>
            <w:tcW w:type="dxa" w:w="186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视频监控系统三期升级改造</w:t>
            </w:r>
          </w:p>
        </w:tc>
        <w:tc>
          <w:tcPr>
            <w:tcW w:type="dxa" w:w="10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未验收</w:t>
            </w:r>
          </w:p>
        </w:tc>
        <w:tc>
          <w:tcPr>
            <w:tcW w:type="dxa" w:w="211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合同维护期</w:t>
            </w:r>
            <w:r>
              <w:rPr>
                <w:sz w:val="21"/>
              </w:rPr>
              <w:t>36个月</w:t>
            </w:r>
          </w:p>
        </w:tc>
        <w:tc>
          <w:tcPr>
            <w:tcW w:type="dxa" w:w="125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待定</w:t>
            </w:r>
          </w:p>
        </w:tc>
        <w:tc>
          <w:tcPr>
            <w:tcW w:type="dxa" w:w="125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实施阶段</w:t>
            </w:r>
          </w:p>
        </w:tc>
      </w:tr>
      <w:tr>
        <w:tc>
          <w:tcPr>
            <w:tcW w:type="dxa" w:w="73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4</w:t>
            </w:r>
          </w:p>
        </w:tc>
        <w:tc>
          <w:tcPr>
            <w:tcW w:type="dxa" w:w="186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视频监控系统四期</w:t>
            </w:r>
          </w:p>
        </w:tc>
        <w:tc>
          <w:tcPr>
            <w:tcW w:type="dxa" w:w="10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2023年10月18日</w:t>
            </w:r>
          </w:p>
        </w:tc>
        <w:tc>
          <w:tcPr>
            <w:tcW w:type="dxa" w:w="211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合同维护期</w:t>
            </w:r>
            <w:r>
              <w:rPr>
                <w:sz w:val="21"/>
              </w:rPr>
              <w:t>36个月</w:t>
            </w:r>
          </w:p>
        </w:tc>
        <w:tc>
          <w:tcPr>
            <w:tcW w:type="dxa" w:w="125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2026年11月</w:t>
            </w:r>
          </w:p>
        </w:tc>
        <w:tc>
          <w:tcPr>
            <w:tcW w:type="dxa" w:w="125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维护期内</w:t>
            </w:r>
          </w:p>
        </w:tc>
      </w:tr>
      <w:tr>
        <w:tc>
          <w:tcPr>
            <w:tcW w:type="dxa" w:w="73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5</w:t>
            </w:r>
          </w:p>
        </w:tc>
        <w:tc>
          <w:tcPr>
            <w:tcW w:type="dxa" w:w="186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“村村通”视频监控</w:t>
            </w:r>
          </w:p>
        </w:tc>
        <w:tc>
          <w:tcPr>
            <w:tcW w:type="dxa" w:w="10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2020年11月4日</w:t>
            </w:r>
          </w:p>
        </w:tc>
        <w:tc>
          <w:tcPr>
            <w:tcW w:type="dxa" w:w="211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合同维护期</w:t>
            </w:r>
            <w:r>
              <w:rPr>
                <w:sz w:val="21"/>
                <w:b/>
              </w:rPr>
              <w:t>36个月</w:t>
            </w:r>
            <w:r>
              <w:br/>
            </w:r>
            <w:r>
              <w:rPr>
                <w:sz w:val="21"/>
                <w:b/>
              </w:rPr>
              <w:t>另外立项运维</w:t>
            </w:r>
            <w:r>
              <w:rPr>
                <w:sz w:val="21"/>
                <w:b/>
              </w:rPr>
              <w:t>1年</w:t>
            </w:r>
          </w:p>
        </w:tc>
        <w:tc>
          <w:tcPr>
            <w:tcW w:type="dxa" w:w="125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2014年12月31日</w:t>
            </w:r>
          </w:p>
        </w:tc>
        <w:tc>
          <w:tcPr>
            <w:tcW w:type="dxa" w:w="125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已到期</w:t>
            </w:r>
          </w:p>
        </w:tc>
      </w:tr>
      <w:tr>
        <w:tc>
          <w:tcPr>
            <w:tcW w:type="dxa" w:w="73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6</w:t>
            </w:r>
          </w:p>
        </w:tc>
        <w:tc>
          <w:tcPr>
            <w:tcW w:type="dxa" w:w="186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“水岸光亮”视频监控二期</w:t>
            </w:r>
          </w:p>
        </w:tc>
        <w:tc>
          <w:tcPr>
            <w:tcW w:type="dxa" w:w="10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2024年7月11日</w:t>
            </w:r>
          </w:p>
        </w:tc>
        <w:tc>
          <w:tcPr>
            <w:tcW w:type="dxa" w:w="211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合同维护期</w:t>
            </w:r>
            <w:r>
              <w:rPr>
                <w:sz w:val="21"/>
              </w:rPr>
              <w:t>36个月</w:t>
            </w:r>
          </w:p>
        </w:tc>
        <w:tc>
          <w:tcPr>
            <w:tcW w:type="dxa" w:w="125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2027年7月10日</w:t>
            </w:r>
          </w:p>
        </w:tc>
        <w:tc>
          <w:tcPr>
            <w:tcW w:type="dxa" w:w="125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维护期内</w:t>
            </w:r>
          </w:p>
        </w:tc>
      </w:tr>
    </w:tbl>
    <w:p>
      <w:pPr>
        <w:pStyle w:val="null3"/>
        <w:ind w:firstLine="420"/>
      </w:pPr>
      <w:r>
        <w:rPr>
          <w:sz w:val="21"/>
        </w:rPr>
        <w:t>随着中山市平安城市工程建设不断推进，视频监控范围不断扩大，视频监控应用不断深入，视频监控系统已成为智慧公安的一个重要组成部分，借助视频监控系统精准定位、精确打击的强大威力，中山公安在打击犯罪、治安防范、社会管理、服务民生等方面的能力和水平发生了质的飞跃。经过视频三期、以及一期、二期升级改造和民众村村通的建设，一定程度上解决城镇道路，主要道路关键节点无盲区，人员密集区域无遗漏，以及要害部位、重要场所、案件高发区域、治安复杂场所主要出入口覆盖的要求。</w:t>
      </w:r>
    </w:p>
    <w:p>
      <w:pPr>
        <w:pStyle w:val="null3"/>
        <w:ind w:firstLine="420"/>
      </w:pPr>
      <w:r>
        <w:rPr>
          <w:sz w:val="21"/>
        </w:rPr>
        <w:t>一期、二期、三期升级改造工程根据社会治安防控</w:t>
      </w:r>
      <w:r>
        <w:rPr>
          <w:sz w:val="21"/>
        </w:rPr>
        <w:t>“三环一面”的总体格局，形成了具有一定覆盖范围和密度的电子治安防控网络，搭建了集治安防控、应急处置、智能调度、信息研判于一体的市、镇（区）两级监控中心和应用平台，并在视频智能分析、智能化运维管理、嫌疑人照片比对等深化应用和管理方面做了比较深入的探索，取得了一定的应用成效。</w:t>
      </w:r>
    </w:p>
    <w:p>
      <w:pPr>
        <w:pStyle w:val="null3"/>
        <w:ind w:firstLine="420"/>
      </w:pPr>
      <w:r>
        <w:rPr>
          <w:sz w:val="21"/>
        </w:rPr>
        <w:t>在原有视频三期高清建设的基础上，民众分局先后启动视频一期改造、视频二期高清改造和村村通项目。升级改造及补点均采用高清网络摄像机，监控摄像机图像通过光纤工业级交换机传输到分局监控中心，并接入到市局统一规划部署的分局视频监控联网共享二级平台上，所有摄像图像通过</w:t>
      </w:r>
      <w:r>
        <w:rPr>
          <w:sz w:val="21"/>
        </w:rPr>
        <w:t>IPSAN进行存储，并通过混合视频矩阵上电视墙显示。同时，通过矩阵将视频图像传输到市公安局监控中心混合视频矩阵上，在市公安局监控电视墙进行显示；同时IPSAN部署在视频专网上，在视频专网上的用户可通过授权监控视频图像。具体网络拓扑图如下：</w:t>
      </w:r>
    </w:p>
    <w:p>
      <w:pPr>
        <w:pStyle w:val="null3"/>
        <w:ind w:firstLine="420"/>
      </w:pPr>
      <w:r>
        <w:rPr>
          <w:sz w:val="21"/>
        </w:rPr>
        <w:t>民众镇现有高清视频</w:t>
      </w:r>
      <w:r>
        <w:rPr>
          <w:sz w:val="21"/>
        </w:rPr>
        <w:t>277路，具体如下：</w:t>
      </w:r>
    </w:p>
    <w:p>
      <w:pPr>
        <w:pStyle w:val="null3"/>
        <w:ind w:firstLine="420"/>
      </w:pPr>
      <w:r>
        <w:rPr>
          <w:sz w:val="21"/>
        </w:rPr>
        <w:t>视频一期：高清视频</w:t>
      </w:r>
      <w:r>
        <w:rPr>
          <w:sz w:val="21"/>
        </w:rPr>
        <w:t>68路；</w:t>
      </w:r>
    </w:p>
    <w:p>
      <w:pPr>
        <w:pStyle w:val="null3"/>
        <w:ind w:firstLine="420"/>
      </w:pPr>
      <w:r>
        <w:rPr>
          <w:sz w:val="21"/>
        </w:rPr>
        <w:t>视频二期：高清视频</w:t>
      </w:r>
      <w:r>
        <w:rPr>
          <w:sz w:val="21"/>
        </w:rPr>
        <w:t>17路；</w:t>
      </w:r>
    </w:p>
    <w:p>
      <w:pPr>
        <w:pStyle w:val="null3"/>
        <w:ind w:firstLine="420"/>
      </w:pPr>
      <w:r>
        <w:rPr>
          <w:sz w:val="21"/>
        </w:rPr>
        <w:t>视频三期：高清视频</w:t>
      </w:r>
      <w:r>
        <w:rPr>
          <w:sz w:val="21"/>
        </w:rPr>
        <w:t>67</w:t>
      </w:r>
      <w:r>
        <w:rPr>
          <w:sz w:val="21"/>
        </w:rPr>
        <w:t>路；</w:t>
      </w:r>
    </w:p>
    <w:p>
      <w:pPr>
        <w:pStyle w:val="null3"/>
        <w:ind w:firstLine="420"/>
      </w:pPr>
      <w:r>
        <w:rPr>
          <w:sz w:val="21"/>
        </w:rPr>
        <w:t>视频四期：高清视频</w:t>
      </w:r>
      <w:r>
        <w:rPr>
          <w:sz w:val="21"/>
        </w:rPr>
        <w:t>37路；</w:t>
      </w:r>
    </w:p>
    <w:p>
      <w:pPr>
        <w:pStyle w:val="null3"/>
        <w:ind w:firstLine="420"/>
      </w:pPr>
      <w:r>
        <w:rPr>
          <w:sz w:val="21"/>
        </w:rPr>
        <w:t>民众村村通：高清视频</w:t>
      </w:r>
      <w:r>
        <w:rPr>
          <w:sz w:val="21"/>
        </w:rPr>
        <w:t>88路；</w:t>
      </w:r>
    </w:p>
    <w:p>
      <w:pPr>
        <w:pStyle w:val="null3"/>
        <w:ind w:firstLine="420"/>
      </w:pPr>
      <w:r>
        <w:rPr>
          <w:sz w:val="21"/>
        </w:rPr>
        <w:t>民众辖区内已有卡口</w:t>
      </w:r>
      <w:r>
        <w:rPr>
          <w:sz w:val="21"/>
        </w:rPr>
        <w:t>7个方向，分别位于广澳高速民众出入口（南往北）、广澳高速民众出入口（北往南）、中山港大桥民众桥脚南行、中山港大桥民众桥脚北行、番公路洪奇沥大桥进源路(南)、番公路洪奇沥大桥进源路(北)和洪奇沥大桥桥头沙仔路路口。具体位置见下图（蓝色点位为民众镇区内）：</w:t>
      </w:r>
    </w:p>
    <w:p>
      <w:pPr>
        <w:pStyle w:val="null3"/>
        <w:jc w:val="center"/>
      </w:pPr>
      <w:r>
        <w:drawing>
          <wp:inline distT="0" distR="0" distB="0" distL="0">
            <wp:extent cx="5274310" cy="3510096"/>
            <wp:docPr id="1" name="Drawing 1" descr="img"/>
            <a:graphic xmlns:a="http://schemas.openxmlformats.org/drawingml/2006/main">
              <a:graphicData uri="http://schemas.openxmlformats.org/drawingml/2006/picture">
                <pic:pic xmlns:pic="http://schemas.openxmlformats.org/drawingml/2006/picture">
                  <pic:nvPicPr>
                    <pic:cNvPr id="0" name="Picture 1" descr="img"/>
                    <pic:cNvPicPr>
                      <a:picLocks noChangeAspect="true"/>
                    </pic:cNvPicPr>
                  </pic:nvPicPr>
                  <pic:blipFill>
                    <a:blip r:embed="rId5"/>
                    <a:stretch>
                      <a:fillRect/>
                    </a:stretch>
                  </pic:blipFill>
                  <pic:spPr>
                    <a:xfrm>
                      <a:off x="0" y="0"/>
                      <a:ext cx="5274310" cy="3510096"/>
                    </a:xfrm>
                    <a:prstGeom prst="rect">
                      <a:avLst/>
                    </a:prstGeom>
                  </pic:spPr>
                </pic:pic>
              </a:graphicData>
            </a:graphic>
          </wp:inline>
        </w:drawing>
      </w:r>
      <w:r>
        <w:rPr>
          <w:sz w:val="21"/>
          <w:b/>
        </w:rPr>
        <w:t>卡口分布图</w:t>
      </w:r>
    </w:p>
    <w:p>
      <w:pPr>
        <w:pStyle w:val="null3"/>
        <w:ind w:firstLine="420"/>
      </w:pPr>
      <w:r>
        <w:rPr>
          <w:sz w:val="21"/>
          <w:b/>
        </w:rPr>
        <w:t>1.2.视频专网建设现状</w:t>
      </w:r>
    </w:p>
    <w:p>
      <w:pPr>
        <w:pStyle w:val="null3"/>
        <w:ind w:firstLine="420"/>
      </w:pPr>
      <w:r>
        <w:rPr>
          <w:sz w:val="21"/>
        </w:rPr>
        <w:t>中山市公安视频专网于视频三期项目投入建设，是公安信息网的一个重要的辅助网络，承载社会治安视频监控资源的汇接和数字视频、报警和控制信息的大规模传输，并通过边界交换系统与公安信息网安全互通。采用星网双归属上行组网模式，与公安信息网相同的网络分布结构。</w:t>
      </w:r>
    </w:p>
    <w:p>
      <w:pPr>
        <w:pStyle w:val="null3"/>
        <w:ind w:firstLine="420"/>
      </w:pPr>
      <w:r>
        <w:rPr>
          <w:sz w:val="21"/>
          <w:b/>
        </w:rPr>
        <w:t>2022年6月中山市公安局采用租赁服务的形式对视频专网进行OTN改造，骨干电路由运营商OTN网络统一承载，每个骨干节点接入OTN网络使用2条不同物理路由的光路，通过OTN设备的物理切片硬隔离技术达到与公安网复用一路OTN万兆链路到市局。市局至各分局之间须提供端到端的OTN网络，各分局视频专网核心交换机须上联至同分局内OTN网络。</w:t>
      </w:r>
    </w:p>
    <w:p>
      <w:pPr>
        <w:pStyle w:val="null3"/>
        <w:ind w:firstLine="420"/>
      </w:pPr>
      <w:r>
        <w:rPr>
          <w:sz w:val="21"/>
        </w:rPr>
        <w:t>为了保证核心节点的可靠性，采用市局与分局分别采用两台核心交换机，部署虚拟化技术；针对分局汇聚节点的可靠性，采用两台汇聚交换机部署虚拟化；针对分局到市局的链路可靠性，采用每两个相邻分局与核心组成一个环网。整网具备快速故障检测和恢复能力、快速保护和快速收敛能力。</w:t>
      </w:r>
    </w:p>
    <w:p>
      <w:pPr>
        <w:pStyle w:val="null3"/>
        <w:ind w:firstLine="420"/>
      </w:pPr>
      <w:r>
        <w:rPr>
          <w:sz w:val="21"/>
        </w:rPr>
        <w:t>骨干网主要为市局与各分局视频采集数据和业务数据提供高性能，智能化的网络服务。设备还具备引擎冗余、矩阵冗余、设备堆叠、流量监控、端口镜像、链路聚合等功能。具有全局网管平台，能实现对全网设备的网络拓扑管理、配置文件管理、软件版本管理、性能监控、故障管理、流量分析管理、应用服务管理及报表管理等。具有全局网络资源自动化编排、自动化部署，通过将业务需要的网络配置保存成模块，在业务需要部署时，配置可以自动下发，实现端到端的访问控制和质量保证。具有全局安全防护功能，在核心交换机上部署高性能防火墙模块，实现各个分局之间的安全隔离和安全防护。</w:t>
      </w:r>
    </w:p>
    <w:p>
      <w:pPr>
        <w:pStyle w:val="null3"/>
        <w:ind w:firstLine="420"/>
      </w:pPr>
      <w:r>
        <w:rPr>
          <w:sz w:val="21"/>
        </w:rPr>
        <w:t>中山市公安视频专网网络拓扑图如下：</w:t>
      </w:r>
    </w:p>
    <w:p>
      <w:pPr>
        <w:pStyle w:val="null3"/>
        <w:jc w:val="center"/>
      </w:pPr>
      <w:r>
        <w:drawing>
          <wp:inline distT="0" distR="0" distB="0" distL="0">
            <wp:extent cx="5274310" cy="3942117"/>
            <wp:docPr id="2" name="Drawing 2" descr="img"/>
            <a:graphic xmlns:a="http://schemas.openxmlformats.org/drawingml/2006/main">
              <a:graphicData uri="http://schemas.openxmlformats.org/drawingml/2006/picture">
                <pic:pic xmlns:pic="http://schemas.openxmlformats.org/drawingml/2006/picture">
                  <pic:nvPicPr>
                    <pic:cNvPr id="0" name="Picture 2" descr="img"/>
                    <pic:cNvPicPr>
                      <a:picLocks noChangeAspect="true"/>
                    </pic:cNvPicPr>
                  </pic:nvPicPr>
                  <pic:blipFill>
                    <a:blip r:embed="rId6"/>
                    <a:stretch>
                      <a:fillRect/>
                    </a:stretch>
                  </pic:blipFill>
                  <pic:spPr>
                    <a:xfrm>
                      <a:off x="0" y="0"/>
                      <a:ext cx="5274310" cy="3942117"/>
                    </a:xfrm>
                    <a:prstGeom prst="rect">
                      <a:avLst/>
                    </a:prstGeom>
                  </pic:spPr>
                </pic:pic>
              </a:graphicData>
            </a:graphic>
          </wp:inline>
        </w:drawing>
      </w:r>
      <w:r>
        <w:rPr>
          <w:sz w:val="21"/>
          <w:b/>
        </w:rPr>
        <w:t>视频专网网络拓扑图</w:t>
      </w:r>
    </w:p>
    <w:p>
      <w:pPr>
        <w:pStyle w:val="null3"/>
        <w:ind w:firstLine="420"/>
        <w:jc w:val="left"/>
      </w:pPr>
      <w:r>
        <w:rPr>
          <w:sz w:val="21"/>
        </w:rPr>
        <w:t>中山市公安局视频专网采用星环网络拓扑结构，市局传输主干网采用</w:t>
      </w:r>
      <w:r>
        <w:rPr>
          <w:sz w:val="21"/>
        </w:rPr>
        <w:t>2台华三LS-12510-X-AC（S1251）核心交换机双机热备形式作为中山市公安视频网的核心交换机。骨干电路由运营商OTN网络统一承载，每个骨干节点接入OTN网络使用2条不同物理路由的光路。市局至各分局之间采用端到端的OTN网络，各分局视频专网核心交换机上联至同分局内OTN网络。接入层包括一类接入点均由裸纤或千兆专线链路承载。</w:t>
      </w:r>
    </w:p>
    <w:p>
      <w:pPr>
        <w:pStyle w:val="null3"/>
        <w:ind w:firstLine="420"/>
      </w:pPr>
      <w:r>
        <w:rPr>
          <w:sz w:val="21"/>
          <w:b/>
        </w:rPr>
        <w:t>1.3.</w:t>
      </w:r>
      <w:r>
        <w:rPr>
          <w:sz w:val="21"/>
          <w:b/>
        </w:rPr>
        <w:t>公安三网三平台系统架构</w:t>
      </w:r>
    </w:p>
    <w:p>
      <w:pPr>
        <w:pStyle w:val="null3"/>
        <w:ind w:firstLine="420"/>
      </w:pPr>
      <w:r>
        <w:rPr>
          <w:sz w:val="21"/>
        </w:rPr>
        <w:t>中山市相关单位经过多年的建设，完成视频图像四网四平台的建设，分别为互联网社会视频和多维数据接入平台、视频专网视频共享平台、公安网视频联网平台和政务外网视频共享平台。</w:t>
      </w:r>
    </w:p>
    <w:p>
      <w:pPr>
        <w:pStyle w:val="null3"/>
        <w:jc w:val="center"/>
      </w:pPr>
      <w:r>
        <w:drawing>
          <wp:inline distT="0" distR="0" distB="0" distL="0">
            <wp:extent cx="5274310" cy="2411113"/>
            <wp:docPr id="3" name="Drawing 3" descr="img"/>
            <a:graphic xmlns:a="http://schemas.openxmlformats.org/drawingml/2006/main">
              <a:graphicData uri="http://schemas.openxmlformats.org/drawingml/2006/picture">
                <pic:pic xmlns:pic="http://schemas.openxmlformats.org/drawingml/2006/picture">
                  <pic:nvPicPr>
                    <pic:cNvPr id="0" name="Picture 3" descr="img"/>
                    <pic:cNvPicPr>
                      <a:picLocks noChangeAspect="true"/>
                    </pic:cNvPicPr>
                  </pic:nvPicPr>
                  <pic:blipFill>
                    <a:blip r:embed="rId7"/>
                    <a:stretch>
                      <a:fillRect/>
                    </a:stretch>
                  </pic:blipFill>
                  <pic:spPr>
                    <a:xfrm>
                      <a:off x="0" y="0"/>
                      <a:ext cx="5274310" cy="2411113"/>
                    </a:xfrm>
                    <a:prstGeom prst="rect">
                      <a:avLst/>
                    </a:prstGeom>
                  </pic:spPr>
                </pic:pic>
              </a:graphicData>
            </a:graphic>
          </wp:inline>
        </w:drawing>
      </w:r>
    </w:p>
    <w:p>
      <w:pPr>
        <w:pStyle w:val="null3"/>
        <w:ind w:firstLine="420"/>
      </w:pPr>
      <w:r>
        <w:rPr>
          <w:sz w:val="21"/>
        </w:rPr>
        <w:t>中山市公安局目前已经完成视频图像三网三平台的建设，分别为互联网社会视频和多维数据接入平台、视频专网视频共享平台、公安网视频联网平台；另外中山市政数局已在政务外网侧建设视频共享平台，并实现与视频专网数据的互通互联。</w:t>
      </w:r>
    </w:p>
    <w:p>
      <w:pPr>
        <w:pStyle w:val="null3"/>
        <w:ind w:firstLine="420"/>
      </w:pPr>
      <w:r>
        <w:rPr>
          <w:sz w:val="21"/>
        </w:rPr>
        <w:t>在互联网侧，市公安局建设互联网社会视频和多维数据接入平台授权</w:t>
      </w:r>
      <w:r>
        <w:rPr>
          <w:sz w:val="21"/>
        </w:rPr>
        <w:t>10万路视频容量；在视频专网侧，市公安局建设视频共享联网平台授权15万路视频容量，主要用于汇聚互联网视频图像和治安监控一类点视频图像；在公安网市公安局建设公安网联网平台授权15万路视频容量，主要用于通过边界连接视频专网视频共享平台接入的视频图像，并接入公安网公安内部大楼、公安监管场所等部门建设的内部视频图像，用于提供公安网地图应用和警种应用所需要的视频图像。</w:t>
      </w:r>
    </w:p>
    <w:p>
      <w:pPr>
        <w:pStyle w:val="null3"/>
        <w:ind w:firstLine="420"/>
      </w:pPr>
      <w:r>
        <w:rPr>
          <w:sz w:val="21"/>
        </w:rPr>
        <w:t>在卡口接入和</w:t>
      </w:r>
      <w:r>
        <w:rPr>
          <w:sz w:val="21"/>
        </w:rPr>
        <w:t>AR高点接入和应用方面，中山市公安局已部署建设全市卡口接入平台，视频专网和公安网AR、VR实景作战平台，透明中山应用平台，从而形成视频、卡口、高点AR、VR、GIS支撑的多维立体全息感知网络。</w:t>
      </w:r>
    </w:p>
    <w:p>
      <w:pPr>
        <w:pStyle w:val="null3"/>
        <w:ind w:firstLine="420"/>
      </w:pPr>
      <w:r>
        <w:rPr>
          <w:sz w:val="21"/>
          <w:b/>
        </w:rPr>
        <w:t>1.4.视频监控报警共享平台现状</w:t>
      </w:r>
    </w:p>
    <w:p>
      <w:pPr>
        <w:pStyle w:val="null3"/>
        <w:ind w:firstLine="420"/>
      </w:pPr>
      <w:r>
        <w:rPr>
          <w:sz w:val="21"/>
        </w:rPr>
        <w:t>公安视频专网报警监控共享平台运行在公安视频专网上，对公安视频专网内的一类视频监控采集设备和信息资源进行集中管理、共享，整合</w:t>
      </w:r>
      <w:r>
        <w:rPr>
          <w:sz w:val="21"/>
        </w:rPr>
        <w:t>18个局单位、交警、边防、消防等警种的视频监控资源，社会的二类、三类视频监控点整合后通过防火墙、网闸设备与公安视频专网的核心交换机汇接，经公安视频专网分发到各镇区分局的监控中心及需在公安视频专网内需要调用社会资源的警种，并向金盾网输送整合后视频资源。</w:t>
      </w:r>
    </w:p>
    <w:p>
      <w:pPr>
        <w:pStyle w:val="null3"/>
        <w:ind w:firstLine="420"/>
      </w:pPr>
      <w:r>
        <w:rPr>
          <w:sz w:val="21"/>
          <w:b/>
        </w:rPr>
        <w:t>1.4.1.市局视频监控联网共享平台设计</w:t>
      </w:r>
    </w:p>
    <w:p>
      <w:pPr>
        <w:pStyle w:val="null3"/>
        <w:ind w:firstLine="420"/>
      </w:pPr>
      <w:r>
        <w:rPr>
          <w:sz w:val="21"/>
        </w:rPr>
        <w:t>市局视频监控联网共享平台符合</w:t>
      </w:r>
      <w:r>
        <w:rPr>
          <w:sz w:val="21"/>
        </w:rPr>
        <w:t>GB/T 28181标准，采用linux操作系统，能够完成系统大规模部署，可根据接入的容量进行系统容量平滑升级。监控平台的设计充分考虑到稳定性和可靠性，对媒体处理单元支持动态均衡负载，能保证本次图像联网的建设的大数据、高可用的应用。</w:t>
      </w:r>
    </w:p>
    <w:p>
      <w:pPr>
        <w:pStyle w:val="null3"/>
        <w:ind w:firstLine="420"/>
      </w:pPr>
      <w:r>
        <w:rPr>
          <w:sz w:val="21"/>
        </w:rPr>
        <w:t>市局视频监控联网共享平台已具备</w:t>
      </w:r>
      <w:r>
        <w:rPr>
          <w:sz w:val="21"/>
        </w:rPr>
        <w:t>20000路在本级平台前端点接入授权，配置满足5000路高清视频图像的并发转发能力的流媒体服务器，与省厅级联按照GB/T 28181联网。</w:t>
      </w:r>
    </w:p>
    <w:p>
      <w:pPr>
        <w:pStyle w:val="null3"/>
        <w:ind w:firstLine="420"/>
      </w:pPr>
      <w:r>
        <w:rPr>
          <w:sz w:val="21"/>
        </w:rPr>
        <w:t>市局视频监控联网共享平台实现与警用</w:t>
      </w:r>
      <w:r>
        <w:rPr>
          <w:sz w:val="21"/>
        </w:rPr>
        <w:t>GIS、实战应用系统、卡口系统等的系统集成和关联应用。</w:t>
      </w:r>
    </w:p>
    <w:p>
      <w:pPr>
        <w:pStyle w:val="null3"/>
        <w:ind w:firstLine="420"/>
      </w:pPr>
      <w:r>
        <w:rPr>
          <w:sz w:val="21"/>
          <w:b/>
        </w:rPr>
        <w:t>1.4.2.民众分局是视频监控（二级）平台设计</w:t>
      </w:r>
    </w:p>
    <w:p>
      <w:pPr>
        <w:pStyle w:val="null3"/>
        <w:ind w:firstLine="420"/>
      </w:pPr>
      <w:r>
        <w:rPr>
          <w:sz w:val="21"/>
        </w:rPr>
        <w:t>市局部署在镇区分局的视频监控（二级）平台符合</w:t>
      </w:r>
      <w:r>
        <w:rPr>
          <w:sz w:val="21"/>
        </w:rPr>
        <w:t>GB/T 28181标准，采用linux操作系统，镇区配置5000路前端接入授权，满足不少于200路高清视频图像的并发能力，实现对民众镇内视频图像的分发，并与市局视频监控联网共享平台级联。镇区监控报警共享平台负责整合原一期、二期、三期、四期一类点视频监控图像。</w:t>
      </w:r>
    </w:p>
    <w:p>
      <w:pPr>
        <w:pStyle w:val="null3"/>
        <w:ind w:firstLine="420"/>
      </w:pPr>
      <w:r>
        <w:rPr>
          <w:sz w:val="21"/>
          <w:b/>
        </w:rPr>
        <w:t>1.5.</w:t>
      </w:r>
      <w:r>
        <w:rPr>
          <w:sz w:val="21"/>
          <w:b/>
        </w:rPr>
        <w:t>民众镇公安分局机房现状</w:t>
      </w:r>
    </w:p>
    <w:p>
      <w:pPr>
        <w:pStyle w:val="null3"/>
        <w:ind w:firstLine="420"/>
      </w:pPr>
      <w:r>
        <w:rPr>
          <w:sz w:val="21"/>
        </w:rPr>
        <w:t>现民众镇公安分局机房位于中山市民众镇民安路</w:t>
      </w:r>
      <w:r>
        <w:rPr>
          <w:sz w:val="21"/>
        </w:rPr>
        <w:t>3号五楼，机房面积约42平方米，机房层高2.65米，机房供配电系统市电配置设置160/3P空气开关引入，现有配置一套100KVA-UPS，目前UPS负载率为10%，机房已配置防雷地排连接楼与地线接地，现有一套102kg七氟丙烷气体消防系统，机房配置3台三匹站立式空调。已设置防静电地板及6套天花平板灯，机房共有13个42U服务器机柜，2个22U服务器机柜。目前，01-05有约16U空位，01-06有约16U空位。</w:t>
      </w:r>
    </w:p>
    <w:p>
      <w:pPr>
        <w:pStyle w:val="null3"/>
        <w:ind w:firstLine="420"/>
      </w:pPr>
      <w:r>
        <w:rPr>
          <w:sz w:val="21"/>
          <w:b/>
        </w:rPr>
        <w:t>2.</w:t>
      </w:r>
      <w:r>
        <w:rPr>
          <w:sz w:val="21"/>
          <w:b/>
        </w:rPr>
        <w:t>主要存在问题</w:t>
      </w:r>
    </w:p>
    <w:p>
      <w:pPr>
        <w:pStyle w:val="null3"/>
        <w:ind w:firstLine="420"/>
      </w:pPr>
      <w:r>
        <w:rPr>
          <w:sz w:val="21"/>
          <w:b/>
        </w:rPr>
        <w:t>2.1.</w:t>
      </w:r>
      <w:r>
        <w:rPr>
          <w:sz w:val="21"/>
          <w:b/>
        </w:rPr>
        <w:t>老旧设备超期服役制约安防效能</w:t>
      </w:r>
    </w:p>
    <w:p>
      <w:pPr>
        <w:pStyle w:val="null3"/>
        <w:ind w:firstLine="420"/>
      </w:pPr>
      <w:r>
        <w:rPr>
          <w:sz w:val="21"/>
        </w:rPr>
        <w:t>当前一期、二期及村村通设备视频监控设备使用年限过长，导致画面模糊、夜间识别率低、故障频发，且无法兼容智能分析功能。建议分阶段推进升级改造，优先替换重点区域设备，引入</w:t>
      </w:r>
      <w:r>
        <w:rPr>
          <w:sz w:val="21"/>
        </w:rPr>
        <w:t>AI</w:t>
      </w:r>
      <w:r>
        <w:rPr>
          <w:sz w:val="21"/>
        </w:rPr>
        <w:t>摄像头和云存储技术，并设立专项资金保障后续维护，以提升设备可靠性和功能</w:t>
      </w:r>
      <w:r>
        <w:rPr>
          <w:sz w:val="21"/>
        </w:rPr>
        <w:t>前瞻</w:t>
      </w:r>
      <w:r>
        <w:rPr>
          <w:sz w:val="21"/>
        </w:rPr>
        <w:t>性。</w:t>
      </w:r>
    </w:p>
    <w:p>
      <w:pPr>
        <w:pStyle w:val="null3"/>
        <w:ind w:firstLine="420"/>
      </w:pPr>
      <w:r>
        <w:rPr>
          <w:sz w:val="21"/>
          <w:b/>
        </w:rPr>
        <w:t>2.2.</w:t>
      </w:r>
      <w:r>
        <w:rPr>
          <w:sz w:val="21"/>
          <w:b/>
        </w:rPr>
        <w:t>村社区覆盖率不足加剧治安风险</w:t>
      </w:r>
    </w:p>
    <w:p>
      <w:pPr>
        <w:pStyle w:val="null3"/>
        <w:ind w:firstLine="420"/>
      </w:pPr>
      <w:r>
        <w:rPr>
          <w:sz w:val="21"/>
        </w:rPr>
        <w:t>民众街道农村及城乡结合部监控盲区突出，部分地区村均摄像头不足</w:t>
      </w:r>
      <w:r>
        <w:rPr>
          <w:sz w:val="21"/>
        </w:rPr>
        <w:t>10</w:t>
      </w:r>
      <w:r>
        <w:rPr>
          <w:sz w:val="21"/>
        </w:rPr>
        <w:t>个，导致盗窃等案件取证困难。需通过扩大覆盖，并结合犯罪热力图动态优化布点，重点补足老旧社区、治安薄弱区域的监控盲区。</w:t>
      </w:r>
    </w:p>
    <w:p>
      <w:pPr>
        <w:pStyle w:val="null3"/>
        <w:ind w:firstLine="420"/>
      </w:pPr>
      <w:r>
        <w:rPr>
          <w:sz w:val="21"/>
          <w:b/>
        </w:rPr>
        <w:t>2.3.</w:t>
      </w:r>
      <w:r>
        <w:rPr>
          <w:sz w:val="21"/>
          <w:b/>
        </w:rPr>
        <w:t>运维单位缺失加快设备损坏</w:t>
      </w:r>
    </w:p>
    <w:p>
      <w:pPr>
        <w:pStyle w:val="null3"/>
        <w:ind w:firstLine="420"/>
      </w:pPr>
      <w:r>
        <w:rPr>
          <w:sz w:val="21"/>
        </w:rPr>
        <w:t>目前、民众街道一期、二期、村村通均已到期，继续有运维单位开展相关运维工作，以满足设备正常运行需求。</w:t>
      </w:r>
    </w:p>
    <w:p>
      <w:pPr>
        <w:pStyle w:val="null3"/>
        <w:ind w:firstLine="420"/>
      </w:pPr>
      <w:r>
        <w:rPr>
          <w:sz w:val="21"/>
          <w:b/>
        </w:rPr>
        <w:t>3.</w:t>
      </w:r>
      <w:r>
        <w:rPr>
          <w:sz w:val="21"/>
          <w:b/>
        </w:rPr>
        <w:t>项目建设必要性与可行性分析</w:t>
      </w:r>
    </w:p>
    <w:p>
      <w:pPr>
        <w:pStyle w:val="null3"/>
        <w:ind w:firstLine="420"/>
      </w:pPr>
      <w:r>
        <w:rPr>
          <w:sz w:val="21"/>
          <w:b/>
        </w:rPr>
        <w:t>3.1.</w:t>
      </w:r>
      <w:r>
        <w:rPr>
          <w:sz w:val="21"/>
          <w:b/>
        </w:rPr>
        <w:t>必要性分析</w:t>
      </w:r>
    </w:p>
    <w:p>
      <w:pPr>
        <w:pStyle w:val="null3"/>
        <w:ind w:firstLine="420"/>
      </w:pPr>
      <w:r>
        <w:rPr>
          <w:sz w:val="21"/>
          <w:b/>
        </w:rPr>
        <w:t>3.1.1</w:t>
      </w:r>
      <w:r>
        <w:rPr>
          <w:sz w:val="21"/>
          <w:b/>
        </w:rPr>
        <w:t>确保公安部、公安厅政策落地</w:t>
      </w:r>
    </w:p>
    <w:p>
      <w:pPr>
        <w:pStyle w:val="null3"/>
        <w:ind w:firstLine="420"/>
      </w:pPr>
      <w:r>
        <w:rPr>
          <w:sz w:val="21"/>
        </w:rPr>
        <w:t>近年来，公安部通过加强顶层设计和统筹规划，组织全国公安机关分期推进了城市报警与监控系统建设、视频监控系统联网和视频图像信息整合共享工作，公安视频监控工作基础建设不断夯实。</w:t>
      </w:r>
    </w:p>
    <w:p>
      <w:pPr>
        <w:pStyle w:val="null3"/>
        <w:ind w:firstLine="420"/>
      </w:pPr>
      <w:r>
        <w:rPr>
          <w:sz w:val="21"/>
        </w:rPr>
        <w:t>2021</w:t>
      </w:r>
      <w:r>
        <w:rPr>
          <w:sz w:val="21"/>
        </w:rPr>
        <w:t>年省公安厅下发的《广东省公共安全视频监控系统建设</w:t>
      </w:r>
      <w:r>
        <w:rPr>
          <w:sz w:val="21"/>
        </w:rPr>
        <w:t>"</w:t>
      </w:r>
      <w:r>
        <w:rPr>
          <w:sz w:val="21"/>
        </w:rPr>
        <w:t>十四五</w:t>
      </w:r>
      <w:r>
        <w:rPr>
          <w:sz w:val="21"/>
        </w:rPr>
        <w:t>"</w:t>
      </w:r>
      <w:r>
        <w:rPr>
          <w:sz w:val="21"/>
        </w:rPr>
        <w:t>规划》等政策文件都充分体现了公共安全视频监控系统建设和视频图像信息的综合应用水平已经得到多个部委单位的关注与重视。</w:t>
      </w:r>
    </w:p>
    <w:p>
      <w:pPr>
        <w:pStyle w:val="null3"/>
        <w:ind w:firstLine="420"/>
      </w:pPr>
      <w:r>
        <w:rPr>
          <w:sz w:val="21"/>
          <w:b/>
        </w:rPr>
        <w:t>3.1.2.</w:t>
      </w:r>
      <w:r>
        <w:rPr>
          <w:sz w:val="21"/>
          <w:b/>
        </w:rPr>
        <w:t>民众镇</w:t>
      </w:r>
      <w:r>
        <w:rPr>
          <w:sz w:val="21"/>
          <w:b/>
        </w:rPr>
        <w:t>"</w:t>
      </w:r>
      <w:r>
        <w:rPr>
          <w:sz w:val="21"/>
          <w:b/>
        </w:rPr>
        <w:t>村村通视频</w:t>
      </w:r>
      <w:r>
        <w:rPr>
          <w:sz w:val="21"/>
          <w:b/>
        </w:rPr>
        <w:t>"</w:t>
      </w:r>
      <w:r>
        <w:rPr>
          <w:sz w:val="21"/>
          <w:b/>
        </w:rPr>
        <w:t>建设必要性</w:t>
      </w:r>
    </w:p>
    <w:p>
      <w:pPr>
        <w:pStyle w:val="null3"/>
        <w:ind w:firstLine="420"/>
      </w:pPr>
      <w:r>
        <w:rPr>
          <w:sz w:val="21"/>
        </w:rPr>
        <w:t>视频图像监控系统已经在公共安全和社会治安系统中扮演着重要的角色，它在预防、控制和打击犯罪、提供破案线索和犯罪证据等方面发挥着人工防范所无法替代的作用，在民众范围内的重要路段和交叉口修复已损坏的监控点进行全天候监控，对整个镇的社会秩序和交通状况进行动态实时控制，以便应对紧急情况的发生并进行统一调度指挥，全面提高民众镇的治安防控水平。</w:t>
      </w:r>
    </w:p>
    <w:p>
      <w:pPr>
        <w:pStyle w:val="null3"/>
        <w:ind w:firstLine="420"/>
      </w:pPr>
      <w:r>
        <w:rPr>
          <w:sz w:val="21"/>
        </w:rPr>
        <w:t>综合以上问题，本期急需在原有</w:t>
      </w:r>
      <w:r>
        <w:rPr>
          <w:sz w:val="21"/>
        </w:rPr>
        <w:t>“村村通”重点区域修复已损坏视频采集点，对特定对象、区域进行长时间监视。</w:t>
      </w:r>
    </w:p>
    <w:p>
      <w:pPr>
        <w:pStyle w:val="null3"/>
        <w:ind w:firstLine="420"/>
      </w:pPr>
      <w:r>
        <w:rPr>
          <w:sz w:val="21"/>
          <w:b/>
        </w:rPr>
        <w:t>3.1.3.</w:t>
      </w:r>
      <w:r>
        <w:rPr>
          <w:sz w:val="21"/>
          <w:b/>
        </w:rPr>
        <w:t>民众镇视频监控设备升级改造重要性</w:t>
      </w:r>
    </w:p>
    <w:p>
      <w:pPr>
        <w:pStyle w:val="null3"/>
        <w:ind w:firstLine="420"/>
      </w:pPr>
      <w:r>
        <w:rPr>
          <w:sz w:val="21"/>
        </w:rPr>
        <w:t>监控设备长期暴露在复杂环境中，易受极端天气、线路老化、设备损耗等因素影响，可能导致画面模糊、信号中断、存储故障等问题。定期建设能够及时排查隐患，修复硬件故障，确保设备全天候正常运行，避免因设备失效造成监控盲区。正常工作的一类视频视频数据是案件侦破、证据提取的关键依据。通过清洁镜头、校正角度、优化网络传输、更新存储设备等建设措施，可有效提高画面清晰度与数据传输稳定性，为公安执法提供高价值的影像资料。预防性建设能减少突发性设备损坏，避免因大规模设备更换造成的财政负担。科学的建设计划可显著延长设备使用周期，最大化资源利用效率，实现</w:t>
      </w:r>
      <w:r>
        <w:rPr>
          <w:sz w:val="21"/>
        </w:rPr>
        <w:t>"</w:t>
      </w:r>
      <w:r>
        <w:rPr>
          <w:sz w:val="21"/>
        </w:rPr>
        <w:t>小投入防大损失</w:t>
      </w:r>
      <w:r>
        <w:rPr>
          <w:sz w:val="21"/>
        </w:rPr>
        <w:t>"</w:t>
      </w:r>
      <w:r>
        <w:rPr>
          <w:sz w:val="21"/>
        </w:rPr>
        <w:t>的管理目标。随着</w:t>
      </w:r>
      <w:r>
        <w:rPr>
          <w:sz w:val="21"/>
        </w:rPr>
        <w:t>AI</w:t>
      </w:r>
      <w:r>
        <w:rPr>
          <w:sz w:val="21"/>
        </w:rPr>
        <w:t>识别、云计算等技术的升级，监控系统需与新兴技术无缝对接。定期建设包含软件更新、协议适配及功能测试，确保老旧设备兼容新技术平台，避免系统碎片化，提升整体防控能力。建设工作的本质是对公共安全防线的巩固。运行良好的监控网络能够对违法犯罪形成持续震慑，助力公安机关快速定位警情、高效处置突发事件，为人民群众的生命财产安全提供坚实保障。</w:t>
      </w:r>
    </w:p>
    <w:p>
      <w:pPr>
        <w:pStyle w:val="null3"/>
        <w:ind w:firstLine="420"/>
      </w:pPr>
      <w:r>
        <w:rPr>
          <w:sz w:val="21"/>
        </w:rPr>
        <w:t>公安视频监控设备建设并非简单的技术作业，而是关乎城市安全体系有效运转的战略性任务。只有通过制度化、常态化的建设管理，才能确保</w:t>
      </w:r>
      <w:r>
        <w:rPr>
          <w:sz w:val="21"/>
        </w:rPr>
        <w:t>"</w:t>
      </w:r>
      <w:r>
        <w:rPr>
          <w:sz w:val="21"/>
        </w:rPr>
        <w:t>科技护城墙</w:t>
      </w:r>
      <w:r>
        <w:rPr>
          <w:sz w:val="21"/>
        </w:rPr>
        <w:t>"</w:t>
      </w:r>
      <w:r>
        <w:rPr>
          <w:sz w:val="21"/>
        </w:rPr>
        <w:t>时刻坚固，为社会长治久安提供不竭的技术动能。</w:t>
      </w:r>
    </w:p>
    <w:p>
      <w:pPr>
        <w:pStyle w:val="null3"/>
        <w:ind w:firstLine="420"/>
      </w:pPr>
      <w:r>
        <w:rPr>
          <w:sz w:val="21"/>
          <w:b/>
        </w:rPr>
        <w:t>3.2.</w:t>
      </w:r>
      <w:r>
        <w:rPr>
          <w:sz w:val="21"/>
          <w:b/>
        </w:rPr>
        <w:t>可行性分析</w:t>
      </w:r>
    </w:p>
    <w:p>
      <w:pPr>
        <w:pStyle w:val="null3"/>
        <w:ind w:firstLine="420"/>
      </w:pPr>
      <w:r>
        <w:rPr>
          <w:sz w:val="21"/>
        </w:rPr>
        <w:t>本项目符合国家政策引导，建设基础条件具备、技术先进、选型合理，经济和技术可行。</w:t>
      </w:r>
    </w:p>
    <w:p>
      <w:pPr>
        <w:pStyle w:val="null3"/>
        <w:ind w:firstLine="420"/>
      </w:pPr>
      <w:r>
        <w:rPr>
          <w:sz w:val="21"/>
          <w:b/>
        </w:rPr>
        <w:t>3.2.1.</w:t>
      </w:r>
      <w:r>
        <w:rPr>
          <w:sz w:val="21"/>
          <w:b/>
        </w:rPr>
        <w:t>符合国家政策引导</w:t>
      </w:r>
    </w:p>
    <w:p>
      <w:pPr>
        <w:pStyle w:val="null3"/>
        <w:ind w:firstLine="420"/>
      </w:pPr>
      <w:r>
        <w:rPr>
          <w:sz w:val="21"/>
        </w:rPr>
        <w:t>本项目符合《广东省公安科技信息化建设</w:t>
      </w:r>
      <w:r>
        <w:rPr>
          <w:sz w:val="21"/>
        </w:rPr>
        <w:t>“十四五”规划》和《广东省公安机关加强社会面治安巡防管控“四个一”体系建设工作方案》等政府相关政策提到的智慧城市建设重点。本项目的建设有利于推动“平安中山”“智慧城市”的进一步落地实施。</w:t>
      </w:r>
    </w:p>
    <w:p>
      <w:pPr>
        <w:pStyle w:val="null3"/>
        <w:ind w:firstLine="420"/>
      </w:pPr>
      <w:r>
        <w:rPr>
          <w:sz w:val="21"/>
          <w:b/>
        </w:rPr>
        <w:t>3.2.2.</w:t>
      </w:r>
      <w:r>
        <w:rPr>
          <w:sz w:val="21"/>
          <w:b/>
        </w:rPr>
        <w:t>技术可行性分析</w:t>
      </w:r>
    </w:p>
    <w:p>
      <w:pPr>
        <w:pStyle w:val="null3"/>
        <w:ind w:firstLine="420"/>
      </w:pPr>
      <w:r>
        <w:rPr>
          <w:sz w:val="21"/>
        </w:rPr>
        <w:t>中山市经过了四期的视频监控建设已具备基础条件：视频云平台</w:t>
      </w:r>
      <w:r>
        <w:rPr>
          <w:sz w:val="21"/>
        </w:rPr>
        <w:t>2018</w:t>
      </w:r>
      <w:r>
        <w:rPr>
          <w:sz w:val="21"/>
        </w:rPr>
        <w:t>年建设资源等基础设施配套已基本完善，具备了公共安全视频监控系统补点建设条件。通过项目建设，提升辖区视频感知设备智能化水平，实现城市治安态势事件智能监测。</w:t>
      </w:r>
    </w:p>
    <w:p>
      <w:pPr>
        <w:pStyle w:val="null3"/>
        <w:ind w:firstLine="420"/>
      </w:pPr>
      <w:r>
        <w:rPr>
          <w:sz w:val="21"/>
          <w:b/>
        </w:rPr>
        <w:t>3.2.3.</w:t>
      </w:r>
      <w:r>
        <w:rPr>
          <w:sz w:val="21"/>
          <w:b/>
        </w:rPr>
        <w:t>经济可行性分析</w:t>
      </w:r>
    </w:p>
    <w:p>
      <w:pPr>
        <w:pStyle w:val="null3"/>
        <w:ind w:firstLine="420"/>
      </w:pPr>
      <w:r>
        <w:rPr>
          <w:sz w:val="21"/>
        </w:rPr>
        <w:t>本项目由民众街道财政投资建设，项目资金具有一定的保障性，可保证项目的建设不会因为资金短缺而导致项目中断和失败。本项目前期已经对潜在风险做了分析和评估，并做了充分的准备和预留了充分的资源，以确保项目顺利建设完成。同时，本项目具有良好的间接经济效益和社会效益。</w:t>
      </w:r>
    </w:p>
    <w:p>
      <w:pPr>
        <w:pStyle w:val="null3"/>
        <w:ind w:firstLine="420"/>
      </w:pPr>
      <w:r>
        <w:rPr>
          <w:sz w:val="21"/>
          <w:b/>
        </w:rPr>
        <w:t>4.</w:t>
      </w:r>
      <w:r>
        <w:rPr>
          <w:sz w:val="21"/>
          <w:b/>
        </w:rPr>
        <w:t>建设需求</w:t>
      </w:r>
    </w:p>
    <w:p>
      <w:pPr>
        <w:pStyle w:val="null3"/>
        <w:ind w:firstLine="420"/>
      </w:pPr>
      <w:r>
        <w:rPr>
          <w:sz w:val="21"/>
          <w:b/>
        </w:rPr>
        <w:t>4.1.</w:t>
      </w:r>
      <w:r>
        <w:rPr>
          <w:sz w:val="21"/>
          <w:b/>
        </w:rPr>
        <w:t>前端子系统建设需求</w:t>
      </w:r>
    </w:p>
    <w:p>
      <w:pPr>
        <w:pStyle w:val="null3"/>
        <w:ind w:firstLine="420"/>
      </w:pPr>
      <w:r>
        <w:rPr>
          <w:sz w:val="21"/>
          <w:b/>
        </w:rPr>
        <w:t>本次系统前端建设内容主要：</w:t>
      </w:r>
      <w:r>
        <w:rPr>
          <w:sz w:val="21"/>
          <w:b/>
        </w:rPr>
        <w:t>204</w:t>
      </w:r>
      <w:r>
        <w:rPr>
          <w:sz w:val="21"/>
          <w:b/>
        </w:rPr>
        <w:t>个前端点位建设。其中包含原址升级改造：一期</w:t>
      </w:r>
      <w:r>
        <w:rPr>
          <w:sz w:val="21"/>
          <w:b/>
        </w:rPr>
        <w:t>68</w:t>
      </w:r>
      <w:r>
        <w:rPr>
          <w:sz w:val="21"/>
          <w:b/>
        </w:rPr>
        <w:t>个点位、二期</w:t>
      </w:r>
      <w:r>
        <w:rPr>
          <w:sz w:val="21"/>
          <w:b/>
        </w:rPr>
        <w:t>17</w:t>
      </w:r>
      <w:r>
        <w:rPr>
          <w:sz w:val="21"/>
          <w:b/>
        </w:rPr>
        <w:t>个点位、村村通</w:t>
      </w:r>
      <w:r>
        <w:rPr>
          <w:sz w:val="21"/>
          <w:b/>
        </w:rPr>
        <w:t>88</w:t>
      </w:r>
      <w:r>
        <w:rPr>
          <w:sz w:val="21"/>
          <w:b/>
        </w:rPr>
        <w:t>个点位。新建点位</w:t>
      </w:r>
      <w:r>
        <w:rPr>
          <w:sz w:val="21"/>
          <w:b/>
        </w:rPr>
        <w:t>30</w:t>
      </w:r>
      <w:r>
        <w:rPr>
          <w:sz w:val="21"/>
          <w:b/>
        </w:rPr>
        <w:t>个及制高点</w:t>
      </w:r>
      <w:r>
        <w:rPr>
          <w:sz w:val="21"/>
          <w:b/>
        </w:rPr>
        <w:t>1</w:t>
      </w:r>
      <w:r>
        <w:rPr>
          <w:sz w:val="21"/>
          <w:b/>
        </w:rPr>
        <w:t>个。</w:t>
      </w:r>
    </w:p>
    <w:p>
      <w:pPr>
        <w:pStyle w:val="null3"/>
        <w:ind w:firstLine="420"/>
      </w:pPr>
      <w:r>
        <w:rPr>
          <w:sz w:val="21"/>
        </w:rPr>
        <w:t>（</w:t>
      </w:r>
      <w:r>
        <w:rPr>
          <w:sz w:val="21"/>
        </w:rPr>
        <w:t>1</w:t>
      </w:r>
      <w:r>
        <w:rPr>
          <w:sz w:val="21"/>
        </w:rPr>
        <w:t>）前端摄像机：在各公共区域新建高清数字</w:t>
      </w:r>
      <w:r>
        <w:rPr>
          <w:sz w:val="21"/>
        </w:rPr>
        <w:t>IP</w:t>
      </w:r>
      <w:r>
        <w:rPr>
          <w:sz w:val="21"/>
        </w:rPr>
        <w:t>监控摄像机，根据实际情况 ，采人脸枪球一体摄像机、双目筒型摄像机、全景云台摄像机，用于全天候实时监控。</w:t>
      </w:r>
    </w:p>
    <w:p>
      <w:pPr>
        <w:pStyle w:val="null3"/>
        <w:ind w:firstLine="420"/>
      </w:pPr>
      <w:r>
        <w:rPr>
          <w:sz w:val="21"/>
        </w:rPr>
        <w:t>（</w:t>
      </w:r>
      <w:r>
        <w:rPr>
          <w:sz w:val="21"/>
        </w:rPr>
        <w:t>2</w:t>
      </w:r>
      <w:r>
        <w:rPr>
          <w:sz w:val="21"/>
        </w:rPr>
        <w:t>）防雷接地：采用防雷设备为摄像机提供信号、电源的防雷功能；建设监控点设备在原有杆体上要求杆件保护接地极应焊接到每个钢制杆件的法兰盘上。焊接处应做防腐处理。接地电阻应小于</w:t>
      </w:r>
      <w:r>
        <w:rPr>
          <w:sz w:val="21"/>
        </w:rPr>
        <w:t>10</w:t>
      </w:r>
      <w:r>
        <w:rPr>
          <w:sz w:val="21"/>
        </w:rPr>
        <w:t>Ω。在原有墙上安装支架上要求地线通过</w:t>
      </w:r>
      <w:r>
        <w:rPr>
          <w:sz w:val="21"/>
        </w:rPr>
        <w:t>PVC</w:t>
      </w:r>
      <w:r>
        <w:rPr>
          <w:sz w:val="21"/>
        </w:rPr>
        <w:t>管到连接至地面。</w:t>
      </w:r>
    </w:p>
    <w:p>
      <w:pPr>
        <w:pStyle w:val="null3"/>
        <w:ind w:firstLine="420"/>
      </w:pPr>
      <w:r>
        <w:rPr>
          <w:sz w:val="21"/>
        </w:rPr>
        <w:t>（</w:t>
      </w:r>
      <w:r>
        <w:rPr>
          <w:sz w:val="21"/>
        </w:rPr>
        <w:t>3</w:t>
      </w:r>
      <w:r>
        <w:rPr>
          <w:sz w:val="21"/>
        </w:rPr>
        <w:t>）供电：监控点电源就近从市电接引，采用电力电缆将市电引至前端各监控点。</w:t>
      </w:r>
    </w:p>
    <w:p>
      <w:pPr>
        <w:pStyle w:val="null3"/>
        <w:ind w:firstLine="420"/>
      </w:pPr>
      <w:r>
        <w:rPr>
          <w:sz w:val="21"/>
        </w:rPr>
        <w:t>（</w:t>
      </w:r>
      <w:r>
        <w:rPr>
          <w:sz w:val="21"/>
        </w:rPr>
        <w:t>4</w:t>
      </w:r>
      <w:r>
        <w:rPr>
          <w:sz w:val="21"/>
        </w:rPr>
        <w:t>）杆体：前端摄像机采用挂墙等方式进行安装，监控杆按简易圆柱型镀锌铁杆安装；同时，前端各种设备需要通过设备箱进行安装。</w:t>
      </w:r>
    </w:p>
    <w:p>
      <w:pPr>
        <w:pStyle w:val="null3"/>
        <w:ind w:firstLine="420"/>
      </w:pPr>
      <w:r>
        <w:rPr>
          <w:sz w:val="21"/>
          <w:b/>
        </w:rPr>
        <w:t>4.2.</w:t>
      </w:r>
      <w:r>
        <w:rPr>
          <w:sz w:val="21"/>
          <w:b/>
        </w:rPr>
        <w:t>传输子系统建设需求</w:t>
      </w:r>
    </w:p>
    <w:p>
      <w:pPr>
        <w:pStyle w:val="null3"/>
        <w:ind w:firstLine="420"/>
      </w:pPr>
      <w:r>
        <w:rPr>
          <w:sz w:val="21"/>
        </w:rPr>
        <w:t>一期及二期视频监控点位采用通过工业级交换机直接和分局监控中心光纤接入层交换机连接。中间传输链路租用运营商的光纤链路，将视频图像传输至分局监控中心；每个监控点租用运营商光纤专用线路传输到分局机房。</w:t>
      </w:r>
    </w:p>
    <w:p>
      <w:pPr>
        <w:pStyle w:val="null3"/>
        <w:ind w:firstLine="420"/>
      </w:pPr>
      <w:r>
        <w:rPr>
          <w:sz w:val="21"/>
        </w:rPr>
        <w:t>村村通点位、新建点位通过营运商光纤链路聚点，通过现有裸纤或专线直连到民众分局监控中心。</w:t>
      </w:r>
    </w:p>
    <w:p>
      <w:pPr>
        <w:pStyle w:val="null3"/>
        <w:ind w:firstLine="420"/>
      </w:pPr>
      <w:r>
        <w:rPr>
          <w:sz w:val="21"/>
          <w:b/>
        </w:rPr>
        <w:t>4.3.</w:t>
      </w:r>
      <w:r>
        <w:rPr>
          <w:sz w:val="21"/>
          <w:b/>
        </w:rPr>
        <w:t>后端子系统建设需求</w:t>
      </w:r>
    </w:p>
    <w:p>
      <w:pPr>
        <w:pStyle w:val="null3"/>
        <w:ind w:firstLine="420"/>
      </w:pPr>
      <w:r>
        <w:rPr>
          <w:sz w:val="21"/>
        </w:rPr>
        <w:t>本期利旧分局原有视频监控联网共享平台，满足本项目设备接入，并配置相关的网络接入设备、存储设备及配套设备，无缝地接入已建设的后端子系统。本次接入的前端数据需无缝接入分局视频共享平台和市局视频平台及市局视频结构化系统平台。</w:t>
      </w:r>
    </w:p>
    <w:p>
      <w:pPr>
        <w:pStyle w:val="null3"/>
        <w:ind w:firstLine="420"/>
      </w:pPr>
      <w:r>
        <w:rPr>
          <w:sz w:val="21"/>
          <w:b/>
        </w:rPr>
        <w:t>四、主要设备技术参数</w:t>
      </w:r>
    </w:p>
    <w:p>
      <w:pPr>
        <w:pStyle w:val="null3"/>
        <w:ind w:firstLine="420"/>
      </w:pPr>
      <w:r>
        <w:rPr>
          <w:sz w:val="21"/>
        </w:rPr>
        <w:t>本系统的建设坚持</w:t>
      </w:r>
      <w:r>
        <w:rPr>
          <w:sz w:val="21"/>
        </w:rPr>
        <w:t>“技术上</w:t>
      </w:r>
      <w:r>
        <w:rPr>
          <w:sz w:val="21"/>
        </w:rPr>
        <w:t>前瞻</w:t>
      </w:r>
      <w:r>
        <w:rPr>
          <w:sz w:val="21"/>
        </w:rPr>
        <w:t>性，使用上实用性，经济上合理性”的原则。为确保系统的</w:t>
      </w:r>
      <w:r>
        <w:rPr>
          <w:sz w:val="21"/>
        </w:rPr>
        <w:t>前瞻</w:t>
      </w:r>
      <w:r>
        <w:rPr>
          <w:sz w:val="21"/>
        </w:rPr>
        <w:t>性、实用性、可靠性，所选用的设备应符合相关的国家标准和行业标准。并根据项目功能要求，系统建设的设备的技术参数均应不低于以下技术指标要求。</w:t>
      </w:r>
    </w:p>
    <w:p>
      <w:pPr>
        <w:pStyle w:val="null3"/>
        <w:ind w:firstLine="420"/>
      </w:pPr>
      <w:r>
        <w:rPr>
          <w:sz w:val="21"/>
        </w:rPr>
        <w:t>1.400w高清智能球型摄像机</w:t>
      </w:r>
    </w:p>
    <w:tbl>
      <w:tblPr>
        <w:tblW w:w="0" w:type="auto"/>
        <w:tblBorders>
          <w:top w:val="none" w:color="000000" w:sz="4"/>
          <w:left w:val="none" w:color="000000" w:sz="4"/>
          <w:bottom w:val="none" w:color="000000" w:sz="4"/>
          <w:right w:val="none" w:color="000000" w:sz="4"/>
          <w:insideH w:val="none"/>
          <w:insideV w:val="none"/>
        </w:tblBorders>
      </w:tblPr>
      <w:tblGrid>
        <w:gridCol w:w="1997"/>
        <w:gridCol w:w="6308"/>
      </w:tblGrid>
      <w:tr>
        <w:tc>
          <w:tcPr>
            <w:tcW w:type="dxa" w:w="1997"/>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参数项</w:t>
            </w:r>
          </w:p>
        </w:tc>
        <w:tc>
          <w:tcPr>
            <w:tcW w:type="dxa" w:w="6308"/>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技术规格要求</w:t>
            </w:r>
          </w:p>
        </w:tc>
      </w:tr>
      <w:tr>
        <w:tc>
          <w:tcPr>
            <w:tcW w:type="dxa" w:w="199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传感器类型</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≥1/1.8英寸CMOS</w:t>
            </w:r>
            <w:r>
              <w:rPr>
                <w:sz w:val="21"/>
              </w:rPr>
              <w:t>。</w:t>
            </w:r>
          </w:p>
        </w:tc>
      </w:tr>
      <w:tr>
        <w:tc>
          <w:tcPr>
            <w:tcW w:type="dxa" w:w="199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像素</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≥400万</w:t>
            </w:r>
            <w:r>
              <w:rPr>
                <w:sz w:val="21"/>
              </w:rPr>
              <w:t>。</w:t>
            </w:r>
          </w:p>
        </w:tc>
      </w:tr>
      <w:tr>
        <w:tc>
          <w:tcPr>
            <w:tcW w:type="dxa" w:w="199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分辨率</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≥2560×1440</w:t>
            </w:r>
            <w:r>
              <w:rPr>
                <w:sz w:val="21"/>
              </w:rPr>
              <w:t>。</w:t>
            </w:r>
          </w:p>
        </w:tc>
      </w:tr>
      <w:tr>
        <w:tc>
          <w:tcPr>
            <w:tcW w:type="dxa" w:w="199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最低照度</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彩色：</w:t>
            </w:r>
            <w:r>
              <w:rPr>
                <w:sz w:val="21"/>
              </w:rPr>
              <w:t>≤0.001Lux@F1.6；黑白：≤0.0001Lux@F1.6；0Lux（红外灯开启）</w:t>
            </w:r>
            <w:r>
              <w:rPr>
                <w:sz w:val="21"/>
              </w:rPr>
              <w:t>。</w:t>
            </w:r>
          </w:p>
        </w:tc>
      </w:tr>
      <w:tr>
        <w:tc>
          <w:tcPr>
            <w:tcW w:type="dxa" w:w="199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补光距离</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≥250m（红外）</w:t>
            </w:r>
            <w:r>
              <w:rPr>
                <w:sz w:val="21"/>
              </w:rPr>
              <w:t>。</w:t>
            </w:r>
          </w:p>
        </w:tc>
      </w:tr>
      <w:tr>
        <w:tc>
          <w:tcPr>
            <w:tcW w:type="dxa" w:w="199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补光类型</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红外</w:t>
            </w:r>
            <w:r>
              <w:rPr>
                <w:sz w:val="21"/>
              </w:rPr>
              <w:t>。</w:t>
            </w:r>
          </w:p>
        </w:tc>
      </w:tr>
      <w:tr>
        <w:tc>
          <w:tcPr>
            <w:tcW w:type="dxa" w:w="199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镜头焦距</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至少</w:t>
            </w:r>
            <w:r>
              <w:rPr>
                <w:sz w:val="21"/>
              </w:rPr>
              <w:t>5.4mm～135mm</w:t>
            </w:r>
            <w:r>
              <w:rPr>
                <w:sz w:val="21"/>
              </w:rPr>
              <w:t>。</w:t>
            </w:r>
          </w:p>
        </w:tc>
      </w:tr>
      <w:tr>
        <w:tc>
          <w:tcPr>
            <w:tcW w:type="dxa" w:w="199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镜头光圈</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至少</w:t>
            </w:r>
            <w:r>
              <w:rPr>
                <w:sz w:val="21"/>
              </w:rPr>
              <w:t>F1.6～F4.0</w:t>
            </w:r>
            <w:r>
              <w:rPr>
                <w:sz w:val="21"/>
              </w:rPr>
              <w:t>。</w:t>
            </w:r>
          </w:p>
        </w:tc>
      </w:tr>
      <w:tr>
        <w:tc>
          <w:tcPr>
            <w:tcW w:type="dxa" w:w="199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视场角</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水平：至少</w:t>
            </w:r>
            <w:r>
              <w:rPr>
                <w:sz w:val="21"/>
              </w:rPr>
              <w:t>59.8°~2.8°；垂直：至少33.7°~1.9°；对角线：至少63.3°~4°</w:t>
            </w:r>
            <w:r>
              <w:rPr>
                <w:sz w:val="21"/>
              </w:rPr>
              <w:t>。</w:t>
            </w:r>
          </w:p>
        </w:tc>
      </w:tr>
      <w:tr>
        <w:tc>
          <w:tcPr>
            <w:tcW w:type="dxa" w:w="199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光学变倍</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≥25倍</w:t>
            </w:r>
            <w:r>
              <w:rPr>
                <w:sz w:val="21"/>
              </w:rPr>
              <w:t>。</w:t>
            </w:r>
          </w:p>
        </w:tc>
      </w:tr>
      <w:tr>
        <w:tc>
          <w:tcPr>
            <w:tcW w:type="dxa" w:w="199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定时任务</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预置点；巡迹；巡航；线扫</w:t>
            </w:r>
            <w:r>
              <w:rPr>
                <w:sz w:val="21"/>
              </w:rPr>
              <w:t>。</w:t>
            </w:r>
          </w:p>
        </w:tc>
      </w:tr>
      <w:tr>
        <w:tc>
          <w:tcPr>
            <w:tcW w:type="dxa" w:w="199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可视域功能</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支持</w:t>
            </w:r>
            <w:r>
              <w:rPr>
                <w:sz w:val="21"/>
              </w:rPr>
              <w:t>。</w:t>
            </w:r>
          </w:p>
        </w:tc>
      </w:tr>
      <w:tr>
        <w:tc>
          <w:tcPr>
            <w:tcW w:type="dxa" w:w="199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视频压缩标准</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H.265；H.264；MJPEG</w:t>
            </w:r>
            <w:r>
              <w:rPr>
                <w:sz w:val="21"/>
              </w:rPr>
              <w:t>。</w:t>
            </w:r>
          </w:p>
        </w:tc>
      </w:tr>
      <w:tr>
        <w:tc>
          <w:tcPr>
            <w:tcW w:type="dxa" w:w="199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视频结构化</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支持机动车、非机动车、人脸、人体检测；支持优选；支持抓拍；支持上报最优的抓图机动车属性</w:t>
            </w:r>
            <w:r>
              <w:rPr>
                <w:sz w:val="21"/>
              </w:rPr>
              <w:t>。</w:t>
            </w:r>
          </w:p>
        </w:tc>
      </w:tr>
      <w:tr>
        <w:tc>
          <w:tcPr>
            <w:tcW w:type="dxa" w:w="199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周界防范</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支持绊线入侵；支持区域入侵；支持穿越围栏；支持徘徊检测；支持物品遗留；支持物品搬移；支持快速移动；支持停车检测；支持人员聚集；支持人车分类报警；支持联动跟踪</w:t>
            </w:r>
            <w:r>
              <w:rPr>
                <w:sz w:val="21"/>
              </w:rPr>
              <w:t>。</w:t>
            </w:r>
          </w:p>
        </w:tc>
      </w:tr>
      <w:tr>
        <w:tc>
          <w:tcPr>
            <w:tcW w:type="dxa" w:w="199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人脸检测</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支持人脸检测；支持优选；支持抓拍；支持上报最优的人脸抓图；支持人脸增强；支持人脸属性提取；支持人脸抠图区域可设：人脸，单寸照；支持实时抓拍，优选抓拍，质量优先三种抓拍策略</w:t>
            </w:r>
            <w:r>
              <w:rPr>
                <w:sz w:val="21"/>
              </w:rPr>
              <w:t>。</w:t>
            </w:r>
          </w:p>
        </w:tc>
      </w:tr>
      <w:tr>
        <w:tc>
          <w:tcPr>
            <w:tcW w:type="dxa" w:w="199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防抖功能</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电子防抖</w:t>
            </w:r>
            <w:r>
              <w:rPr>
                <w:sz w:val="21"/>
              </w:rPr>
              <w:t>。</w:t>
            </w:r>
          </w:p>
        </w:tc>
      </w:tr>
      <w:tr>
        <w:tc>
          <w:tcPr>
            <w:tcW w:type="dxa" w:w="199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透雾功能</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电子透雾</w:t>
            </w:r>
            <w:r>
              <w:rPr>
                <w:sz w:val="21"/>
              </w:rPr>
              <w:t>。</w:t>
            </w:r>
          </w:p>
        </w:tc>
      </w:tr>
      <w:tr>
        <w:tc>
          <w:tcPr>
            <w:tcW w:type="dxa" w:w="199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接入标准</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支持</w:t>
            </w:r>
            <w:r>
              <w:rPr>
                <w:sz w:val="21"/>
              </w:rPr>
              <w:t>GB/T</w:t>
            </w:r>
            <w:r>
              <w:rPr>
                <w:sz w:val="21"/>
              </w:rPr>
              <w:t xml:space="preserve"> </w:t>
            </w:r>
            <w:r>
              <w:rPr>
                <w:sz w:val="21"/>
              </w:rPr>
              <w:t>28181；GB</w:t>
            </w:r>
            <w:r>
              <w:rPr>
                <w:sz w:val="21"/>
              </w:rPr>
              <w:t xml:space="preserve"> </w:t>
            </w:r>
            <w:r>
              <w:rPr>
                <w:sz w:val="21"/>
              </w:rPr>
              <w:t>35114 A级；GA/T</w:t>
            </w:r>
            <w:r>
              <w:rPr>
                <w:sz w:val="21"/>
              </w:rPr>
              <w:t xml:space="preserve"> </w:t>
            </w:r>
            <w:r>
              <w:rPr>
                <w:sz w:val="21"/>
              </w:rPr>
              <w:t>1400</w:t>
            </w:r>
            <w:r>
              <w:rPr>
                <w:sz w:val="21"/>
              </w:rPr>
              <w:t>。</w:t>
            </w:r>
          </w:p>
        </w:tc>
      </w:tr>
      <w:tr>
        <w:tc>
          <w:tcPr>
            <w:tcW w:type="dxa" w:w="199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存储功能</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Micro SD卡（支持≥512GB）</w:t>
            </w:r>
            <w:r>
              <w:rPr>
                <w:sz w:val="21"/>
              </w:rPr>
              <w:t>；</w:t>
            </w:r>
            <w:r>
              <w:rPr>
                <w:sz w:val="21"/>
              </w:rPr>
              <w:t>FTP/SFTP</w:t>
            </w:r>
            <w:r>
              <w:rPr>
                <w:sz w:val="21"/>
              </w:rPr>
              <w:t>；</w:t>
            </w:r>
            <w:r>
              <w:rPr>
                <w:sz w:val="21"/>
              </w:rPr>
              <w:t>NAS</w:t>
            </w:r>
            <w:r>
              <w:rPr>
                <w:sz w:val="21"/>
              </w:rPr>
              <w:t>。</w:t>
            </w:r>
          </w:p>
        </w:tc>
      </w:tr>
      <w:tr>
        <w:tc>
          <w:tcPr>
            <w:tcW w:type="dxa" w:w="199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网络接口</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≥1个RJ-45，支持10M/100M网络数据</w:t>
            </w:r>
            <w:r>
              <w:rPr>
                <w:sz w:val="21"/>
              </w:rPr>
              <w:t>。</w:t>
            </w:r>
          </w:p>
        </w:tc>
      </w:tr>
      <w:tr>
        <w:tc>
          <w:tcPr>
            <w:tcW w:type="dxa" w:w="199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音频输入</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≥1路</w:t>
            </w:r>
            <w:r>
              <w:rPr>
                <w:sz w:val="21"/>
              </w:rPr>
              <w:t>。</w:t>
            </w:r>
          </w:p>
        </w:tc>
      </w:tr>
      <w:tr>
        <w:tc>
          <w:tcPr>
            <w:tcW w:type="dxa" w:w="199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音频输出</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≥1路</w:t>
            </w:r>
            <w:r>
              <w:rPr>
                <w:sz w:val="21"/>
              </w:rPr>
              <w:t>。</w:t>
            </w:r>
          </w:p>
        </w:tc>
      </w:tr>
      <w:tr>
        <w:tc>
          <w:tcPr>
            <w:tcW w:type="dxa" w:w="199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语音对讲</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支持</w:t>
            </w:r>
            <w:r>
              <w:rPr>
                <w:sz w:val="21"/>
              </w:rPr>
              <w:t>。</w:t>
            </w:r>
          </w:p>
        </w:tc>
      </w:tr>
      <w:tr>
        <w:tc>
          <w:tcPr>
            <w:tcW w:type="dxa" w:w="199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报警输入</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≥2路，开关量输入（0~5V DC）</w:t>
            </w:r>
            <w:r>
              <w:rPr>
                <w:sz w:val="21"/>
              </w:rPr>
              <w:t>。</w:t>
            </w:r>
          </w:p>
        </w:tc>
      </w:tr>
      <w:tr>
        <w:tc>
          <w:tcPr>
            <w:tcW w:type="dxa" w:w="199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报警输出</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≥1路</w:t>
            </w:r>
            <w:r>
              <w:rPr>
                <w:sz w:val="21"/>
              </w:rPr>
              <w:t>。</w:t>
            </w:r>
          </w:p>
        </w:tc>
      </w:tr>
      <w:tr>
        <w:tc>
          <w:tcPr>
            <w:tcW w:type="dxa" w:w="199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定位功能</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内置定位校时模块，可输出经纬度信息</w:t>
            </w:r>
            <w:r>
              <w:rPr>
                <w:sz w:val="21"/>
              </w:rPr>
              <w:t>。</w:t>
            </w:r>
          </w:p>
        </w:tc>
      </w:tr>
      <w:tr>
        <w:tc>
          <w:tcPr>
            <w:tcW w:type="dxa" w:w="199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防护等级</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≥IP66</w:t>
            </w:r>
            <w:r>
              <w:rPr>
                <w:sz w:val="21"/>
              </w:rPr>
              <w:t>。</w:t>
            </w:r>
          </w:p>
        </w:tc>
      </w:tr>
    </w:tbl>
    <w:p>
      <w:pPr>
        <w:pStyle w:val="null3"/>
        <w:ind w:firstLine="420"/>
      </w:pPr>
      <w:r>
        <w:rPr>
          <w:sz w:val="21"/>
        </w:rPr>
        <w:t>2.人脸枪球一体摄像机</w:t>
      </w:r>
    </w:p>
    <w:tbl>
      <w:tblPr>
        <w:tblW w:w="0" w:type="auto"/>
        <w:tblBorders>
          <w:top w:val="none" w:color="000000" w:sz="4"/>
          <w:left w:val="none" w:color="000000" w:sz="4"/>
          <w:bottom w:val="none" w:color="000000" w:sz="4"/>
          <w:right w:val="none" w:color="000000" w:sz="4"/>
          <w:insideH w:val="none"/>
          <w:insideV w:val="none"/>
        </w:tblBorders>
      </w:tblPr>
      <w:tblGrid>
        <w:gridCol w:w="1988"/>
        <w:gridCol w:w="6315"/>
      </w:tblGrid>
      <w:tr>
        <w:tc>
          <w:tcPr>
            <w:tcW w:type="dxa" w:w="1988"/>
            <w:tcBorders>
              <w:top w:val="singl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参数项</w:t>
            </w:r>
          </w:p>
        </w:tc>
        <w:tc>
          <w:tcPr>
            <w:tcW w:type="dxa" w:w="6315"/>
            <w:tcBorders>
              <w:top w:val="singl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技术规格要求</w:t>
            </w:r>
          </w:p>
        </w:tc>
      </w:tr>
      <w:tr>
        <w:tc>
          <w:tcPr>
            <w:tcW w:type="dxa" w:w="198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传感器类型</w:t>
            </w:r>
          </w:p>
        </w:tc>
        <w:tc>
          <w:tcPr>
            <w:tcW w:type="dxa" w:w="631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全景</w:t>
            </w:r>
            <w:r>
              <w:rPr>
                <w:sz w:val="21"/>
              </w:rPr>
              <w:t>≥1/1.8英寸CMOS 细节 ≥1/1.8英寸CMOS</w:t>
            </w:r>
            <w:r>
              <w:rPr>
                <w:sz w:val="21"/>
              </w:rPr>
              <w:t>。</w:t>
            </w:r>
          </w:p>
        </w:tc>
      </w:tr>
      <w:tr>
        <w:tc>
          <w:tcPr>
            <w:tcW w:type="dxa" w:w="198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像素</w:t>
            </w:r>
          </w:p>
        </w:tc>
        <w:tc>
          <w:tcPr>
            <w:tcW w:type="dxa" w:w="631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全景</w:t>
            </w:r>
            <w:r>
              <w:rPr>
                <w:sz w:val="21"/>
              </w:rPr>
              <w:t>≥400万 细节≥400万</w:t>
            </w:r>
            <w:r>
              <w:rPr>
                <w:sz w:val="21"/>
              </w:rPr>
              <w:t>。</w:t>
            </w:r>
          </w:p>
        </w:tc>
      </w:tr>
      <w:tr>
        <w:tc>
          <w:tcPr>
            <w:tcW w:type="dxa" w:w="198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芯片</w:t>
            </w:r>
          </w:p>
        </w:tc>
        <w:tc>
          <w:tcPr>
            <w:tcW w:type="dxa" w:w="631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内置</w:t>
            </w:r>
            <w:r>
              <w:rPr>
                <w:sz w:val="21"/>
              </w:rPr>
              <w:t>GPU芯片</w:t>
            </w:r>
            <w:r>
              <w:rPr>
                <w:sz w:val="21"/>
              </w:rPr>
              <w:t>。</w:t>
            </w:r>
          </w:p>
        </w:tc>
      </w:tr>
      <w:tr>
        <w:tc>
          <w:tcPr>
            <w:tcW w:type="dxa" w:w="198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分辨率</w:t>
            </w:r>
          </w:p>
        </w:tc>
        <w:tc>
          <w:tcPr>
            <w:tcW w:type="dxa" w:w="631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全景</w:t>
            </w:r>
            <w:r>
              <w:rPr>
                <w:sz w:val="21"/>
              </w:rPr>
              <w:t>≥2688×1520 细节≥2688×1520</w:t>
            </w:r>
            <w:r>
              <w:rPr>
                <w:sz w:val="21"/>
              </w:rPr>
              <w:t>。</w:t>
            </w:r>
          </w:p>
        </w:tc>
      </w:tr>
      <w:tr>
        <w:tc>
          <w:tcPr>
            <w:tcW w:type="dxa" w:w="198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镜头焦距</w:t>
            </w:r>
          </w:p>
        </w:tc>
        <w:tc>
          <w:tcPr>
            <w:tcW w:type="dxa" w:w="631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全景</w:t>
            </w:r>
            <w:r>
              <w:rPr>
                <w:sz w:val="21"/>
              </w:rPr>
              <w:t>5</w:t>
            </w:r>
            <w:r>
              <w:rPr>
                <w:sz w:val="21"/>
              </w:rPr>
              <w:t>~</w:t>
            </w:r>
            <w:r>
              <w:rPr>
                <w:sz w:val="21"/>
              </w:rPr>
              <w:t>7</w:t>
            </w:r>
            <w:r>
              <w:rPr>
                <w:sz w:val="21"/>
              </w:rPr>
              <w:t>mm ；细节至少10mm~50mm</w:t>
            </w:r>
            <w:r>
              <w:rPr>
                <w:sz w:val="21"/>
              </w:rPr>
              <w:t>。</w:t>
            </w:r>
          </w:p>
        </w:tc>
      </w:tr>
      <w:tr>
        <w:tc>
          <w:tcPr>
            <w:tcW w:type="dxa" w:w="198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光学变倍</w:t>
            </w:r>
          </w:p>
        </w:tc>
        <w:tc>
          <w:tcPr>
            <w:tcW w:type="dxa" w:w="631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细节</w:t>
            </w:r>
            <w:r>
              <w:rPr>
                <w:sz w:val="21"/>
              </w:rPr>
              <w:t>≥5倍</w:t>
            </w:r>
            <w:r>
              <w:rPr>
                <w:sz w:val="21"/>
              </w:rPr>
              <w:t>。</w:t>
            </w:r>
          </w:p>
        </w:tc>
      </w:tr>
      <w:tr>
        <w:tc>
          <w:tcPr>
            <w:tcW w:type="dxa" w:w="198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数字变倍</w:t>
            </w:r>
          </w:p>
        </w:tc>
        <w:tc>
          <w:tcPr>
            <w:tcW w:type="dxa" w:w="631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≥16倍</w:t>
            </w:r>
            <w:r>
              <w:rPr>
                <w:sz w:val="21"/>
              </w:rPr>
              <w:t>。</w:t>
            </w:r>
          </w:p>
        </w:tc>
      </w:tr>
      <w:tr>
        <w:tc>
          <w:tcPr>
            <w:tcW w:type="dxa" w:w="198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照度</w:t>
            </w:r>
          </w:p>
        </w:tc>
        <w:tc>
          <w:tcPr>
            <w:tcW w:type="dxa" w:w="631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全景</w:t>
            </w:r>
            <w:r>
              <w:rPr>
                <w:sz w:val="21"/>
              </w:rPr>
              <w:t>彩色：</w:t>
            </w:r>
            <w:r>
              <w:rPr>
                <w:sz w:val="21"/>
              </w:rPr>
              <w:t>≤0.001Lux@F1.0 黑白：≤0.0001Lux@F1.0 细节 彩色：≤0.001Lux@F1.30 黑白：≤0.0001Lux@F1.30 0Lux（红外灯开启）</w:t>
            </w:r>
            <w:r>
              <w:rPr>
                <w:sz w:val="21"/>
              </w:rPr>
              <w:t>。</w:t>
            </w:r>
          </w:p>
        </w:tc>
      </w:tr>
      <w:tr>
        <w:tc>
          <w:tcPr>
            <w:tcW w:type="dxa" w:w="198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视频结构化</w:t>
            </w:r>
          </w:p>
        </w:tc>
        <w:tc>
          <w:tcPr>
            <w:tcW w:type="dxa" w:w="631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支持机动车、非机动车、人脸、人体检测；支持优选；支持抓拍；支持上报最优的抓图，机动车属性、非机动车属性、人体属性、人脸属性</w:t>
            </w:r>
            <w:r>
              <w:rPr>
                <w:sz w:val="21"/>
              </w:rPr>
              <w:t>。</w:t>
            </w:r>
          </w:p>
        </w:tc>
      </w:tr>
      <w:tr>
        <w:tc>
          <w:tcPr>
            <w:tcW w:type="dxa" w:w="198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人脸识别</w:t>
            </w:r>
          </w:p>
        </w:tc>
        <w:tc>
          <w:tcPr>
            <w:tcW w:type="dxa" w:w="631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支持人脸检测；支持优选；支持抓拍；支持上报最优的人脸抓图；支持人脸增强；支持人脸属性提取，；支持人脸抠图区域可设：人脸，单寸照；支持添加</w:t>
            </w:r>
            <w:r>
              <w:rPr>
                <w:sz w:val="21"/>
              </w:rPr>
              <w:t>≥5个人脸库；支持单个以及批量人员注册；支持人脸识别相似度设置；支持≥1万人脸底库的人脸比对</w:t>
            </w:r>
            <w:r>
              <w:rPr>
                <w:sz w:val="21"/>
              </w:rPr>
              <w:t>。</w:t>
            </w:r>
          </w:p>
        </w:tc>
      </w:tr>
      <w:tr>
        <w:tc>
          <w:tcPr>
            <w:tcW w:type="dxa" w:w="198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信噪比</w:t>
            </w:r>
          </w:p>
        </w:tc>
        <w:tc>
          <w:tcPr>
            <w:tcW w:type="dxa" w:w="631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≥55dB</w:t>
            </w:r>
            <w:r>
              <w:rPr>
                <w:sz w:val="21"/>
              </w:rPr>
              <w:t>。</w:t>
            </w:r>
          </w:p>
        </w:tc>
      </w:tr>
      <w:tr>
        <w:tc>
          <w:tcPr>
            <w:tcW w:type="dxa" w:w="198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电子快门</w:t>
            </w:r>
          </w:p>
        </w:tc>
        <w:tc>
          <w:tcPr>
            <w:tcW w:type="dxa" w:w="631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全景</w:t>
            </w:r>
            <w:r>
              <w:rPr>
                <w:sz w:val="21"/>
              </w:rPr>
              <w:t>1/3s~1/100000s 细节 1/1s~1/30000s</w:t>
            </w:r>
            <w:r>
              <w:rPr>
                <w:sz w:val="21"/>
              </w:rPr>
              <w:t>。</w:t>
            </w:r>
          </w:p>
        </w:tc>
      </w:tr>
      <w:tr>
        <w:tc>
          <w:tcPr>
            <w:tcW w:type="dxa" w:w="198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联动跟踪</w:t>
            </w:r>
          </w:p>
        </w:tc>
        <w:tc>
          <w:tcPr>
            <w:tcW w:type="dxa" w:w="631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支持全景联动细节完成智能检测。全景支持视频结构化联动细节人员抓拍及属性提取；全景支持周界检测联动细节跟踪及目标抓拍属性提取</w:t>
            </w:r>
            <w:r>
              <w:rPr>
                <w:sz w:val="21"/>
              </w:rPr>
              <w:t>。</w:t>
            </w:r>
          </w:p>
        </w:tc>
      </w:tr>
      <w:tr>
        <w:tc>
          <w:tcPr>
            <w:tcW w:type="dxa" w:w="198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视场角</w:t>
            </w:r>
          </w:p>
        </w:tc>
        <w:tc>
          <w:tcPr>
            <w:tcW w:type="dxa" w:w="631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全景</w:t>
            </w:r>
            <w:r>
              <w:rPr>
                <w:sz w:val="21"/>
              </w:rPr>
              <w:t>水平：</w:t>
            </w:r>
            <w:r>
              <w:rPr>
                <w:sz w:val="21"/>
              </w:rPr>
              <w:t>55</w:t>
            </w:r>
            <w:r>
              <w:rPr>
                <w:sz w:val="21"/>
              </w:rPr>
              <w:t>~</w:t>
            </w:r>
            <w:r>
              <w:rPr>
                <w:sz w:val="21"/>
              </w:rPr>
              <w:t>60</w:t>
            </w:r>
            <w:r>
              <w:rPr>
                <w:sz w:val="21"/>
              </w:rPr>
              <w:t>° 垂直：</w:t>
            </w:r>
            <w:r>
              <w:rPr>
                <w:sz w:val="21"/>
              </w:rPr>
              <w:t>30</w:t>
            </w:r>
            <w:r>
              <w:rPr>
                <w:sz w:val="21"/>
              </w:rPr>
              <w:t>~</w:t>
            </w:r>
            <w:r>
              <w:rPr>
                <w:sz w:val="21"/>
              </w:rPr>
              <w:t>32</w:t>
            </w:r>
            <w:r>
              <w:rPr>
                <w:sz w:val="21"/>
              </w:rPr>
              <w:t>° 对角：</w:t>
            </w:r>
            <w:r>
              <w:rPr>
                <w:sz w:val="21"/>
              </w:rPr>
              <w:t>65</w:t>
            </w:r>
            <w:r>
              <w:rPr>
                <w:sz w:val="21"/>
              </w:rPr>
              <w:t>~</w:t>
            </w:r>
            <w:r>
              <w:rPr>
                <w:sz w:val="21"/>
              </w:rPr>
              <w:t>68</w:t>
            </w:r>
            <w:r>
              <w:rPr>
                <w:sz w:val="21"/>
              </w:rPr>
              <w:t>° 细节 水平：45°~10° 垂直：26°~5.7° 对角线：51°~11.5°</w:t>
            </w:r>
            <w:r>
              <w:rPr>
                <w:sz w:val="21"/>
              </w:rPr>
              <w:t>。</w:t>
            </w:r>
          </w:p>
        </w:tc>
      </w:tr>
      <w:tr>
        <w:tc>
          <w:tcPr>
            <w:tcW w:type="dxa" w:w="198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补光距离</w:t>
            </w:r>
          </w:p>
        </w:tc>
        <w:tc>
          <w:tcPr>
            <w:tcW w:type="dxa" w:w="631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全景</w:t>
            </w:r>
            <w:r>
              <w:rPr>
                <w:sz w:val="21"/>
              </w:rPr>
              <w:t>≥30m（白光） 细节 ≥100m（红外）</w:t>
            </w:r>
            <w:r>
              <w:rPr>
                <w:sz w:val="21"/>
              </w:rPr>
              <w:t>。</w:t>
            </w:r>
          </w:p>
        </w:tc>
      </w:tr>
      <w:tr>
        <w:tc>
          <w:tcPr>
            <w:tcW w:type="dxa" w:w="198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预置点</w:t>
            </w:r>
          </w:p>
        </w:tc>
        <w:tc>
          <w:tcPr>
            <w:tcW w:type="dxa" w:w="631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≥300个</w:t>
            </w:r>
            <w:r>
              <w:rPr>
                <w:sz w:val="21"/>
              </w:rPr>
              <w:t>。</w:t>
            </w:r>
          </w:p>
        </w:tc>
      </w:tr>
      <w:tr>
        <w:tc>
          <w:tcPr>
            <w:tcW w:type="dxa" w:w="198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自动巡航</w:t>
            </w:r>
          </w:p>
        </w:tc>
        <w:tc>
          <w:tcPr>
            <w:tcW w:type="dxa" w:w="631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≥8条, 每条可添加</w:t>
            </w:r>
            <w:r>
              <w:rPr>
                <w:sz w:val="21"/>
              </w:rPr>
              <w:t>≥</w:t>
            </w:r>
            <w:r>
              <w:rPr>
                <w:sz w:val="21"/>
              </w:rPr>
              <w:t>32个预置点</w:t>
            </w:r>
            <w:r>
              <w:rPr>
                <w:sz w:val="21"/>
              </w:rPr>
              <w:t>。</w:t>
            </w:r>
          </w:p>
        </w:tc>
      </w:tr>
      <w:tr>
        <w:tc>
          <w:tcPr>
            <w:tcW w:type="dxa" w:w="198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自动巡迹</w:t>
            </w:r>
          </w:p>
        </w:tc>
        <w:tc>
          <w:tcPr>
            <w:tcW w:type="dxa" w:w="631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≥5条</w:t>
            </w:r>
            <w:r>
              <w:rPr>
                <w:sz w:val="21"/>
              </w:rPr>
              <w:t>。</w:t>
            </w:r>
          </w:p>
        </w:tc>
      </w:tr>
      <w:tr>
        <w:tc>
          <w:tcPr>
            <w:tcW w:type="dxa" w:w="198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自动线扫</w:t>
            </w:r>
          </w:p>
        </w:tc>
        <w:tc>
          <w:tcPr>
            <w:tcW w:type="dxa" w:w="631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≥5条</w:t>
            </w:r>
            <w:r>
              <w:rPr>
                <w:sz w:val="21"/>
              </w:rPr>
              <w:t>。</w:t>
            </w:r>
          </w:p>
        </w:tc>
      </w:tr>
      <w:tr>
        <w:tc>
          <w:tcPr>
            <w:tcW w:type="dxa" w:w="198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视频压缩标准</w:t>
            </w:r>
          </w:p>
        </w:tc>
        <w:tc>
          <w:tcPr>
            <w:tcW w:type="dxa" w:w="631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H.265；H.264；MJPEG</w:t>
            </w:r>
            <w:r>
              <w:rPr>
                <w:sz w:val="21"/>
              </w:rPr>
              <w:t>。</w:t>
            </w:r>
          </w:p>
        </w:tc>
      </w:tr>
      <w:tr>
        <w:tc>
          <w:tcPr>
            <w:tcW w:type="dxa" w:w="198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报警联动</w:t>
            </w:r>
          </w:p>
        </w:tc>
        <w:tc>
          <w:tcPr>
            <w:tcW w:type="dxa" w:w="631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抓图；预置点；巡航；巡迹；录像；触发开关量输出；发送邮件</w:t>
            </w:r>
            <w:r>
              <w:rPr>
                <w:sz w:val="21"/>
              </w:rPr>
              <w:t>。</w:t>
            </w:r>
          </w:p>
        </w:tc>
      </w:tr>
      <w:tr>
        <w:tc>
          <w:tcPr>
            <w:tcW w:type="dxa" w:w="198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报警事件</w:t>
            </w:r>
          </w:p>
        </w:tc>
        <w:tc>
          <w:tcPr>
            <w:tcW w:type="dxa" w:w="631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动态检测</w:t>
            </w:r>
            <w:r>
              <w:rPr>
                <w:sz w:val="21"/>
              </w:rPr>
              <w:t>/视频遮挡；音频检测；网络断开检测；IP冲突检测；存储卡状态检测；存储空间检测</w:t>
            </w:r>
            <w:r>
              <w:rPr>
                <w:sz w:val="21"/>
              </w:rPr>
              <w:t>。</w:t>
            </w:r>
          </w:p>
        </w:tc>
      </w:tr>
      <w:tr>
        <w:tc>
          <w:tcPr>
            <w:tcW w:type="dxa" w:w="198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音频输入</w:t>
            </w:r>
          </w:p>
        </w:tc>
        <w:tc>
          <w:tcPr>
            <w:tcW w:type="dxa" w:w="631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≥1路</w:t>
            </w:r>
            <w:r>
              <w:rPr>
                <w:sz w:val="21"/>
              </w:rPr>
              <w:t>。</w:t>
            </w:r>
          </w:p>
        </w:tc>
      </w:tr>
      <w:tr>
        <w:tc>
          <w:tcPr>
            <w:tcW w:type="dxa" w:w="198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音频输出</w:t>
            </w:r>
          </w:p>
        </w:tc>
        <w:tc>
          <w:tcPr>
            <w:tcW w:type="dxa" w:w="631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≥1路</w:t>
            </w:r>
            <w:r>
              <w:rPr>
                <w:sz w:val="21"/>
              </w:rPr>
              <w:t>。</w:t>
            </w:r>
          </w:p>
        </w:tc>
      </w:tr>
      <w:tr>
        <w:tc>
          <w:tcPr>
            <w:tcW w:type="dxa" w:w="198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语音对讲</w:t>
            </w:r>
          </w:p>
        </w:tc>
        <w:tc>
          <w:tcPr>
            <w:tcW w:type="dxa" w:w="631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支持</w:t>
            </w:r>
            <w:r>
              <w:rPr>
                <w:sz w:val="21"/>
              </w:rPr>
              <w:t>。</w:t>
            </w:r>
          </w:p>
        </w:tc>
      </w:tr>
      <w:tr>
        <w:tc>
          <w:tcPr>
            <w:tcW w:type="dxa" w:w="198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报警输入</w:t>
            </w:r>
          </w:p>
        </w:tc>
        <w:tc>
          <w:tcPr>
            <w:tcW w:type="dxa" w:w="631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≥2路</w:t>
            </w:r>
            <w:r>
              <w:rPr>
                <w:sz w:val="21"/>
              </w:rPr>
              <w:t>。</w:t>
            </w:r>
          </w:p>
        </w:tc>
      </w:tr>
      <w:tr>
        <w:tc>
          <w:tcPr>
            <w:tcW w:type="dxa" w:w="198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报警输出</w:t>
            </w:r>
          </w:p>
        </w:tc>
        <w:tc>
          <w:tcPr>
            <w:tcW w:type="dxa" w:w="631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≥1路</w:t>
            </w:r>
            <w:r>
              <w:rPr>
                <w:sz w:val="21"/>
              </w:rPr>
              <w:t>。</w:t>
            </w:r>
          </w:p>
        </w:tc>
      </w:tr>
      <w:tr>
        <w:tc>
          <w:tcPr>
            <w:tcW w:type="dxa" w:w="198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工作温度</w:t>
            </w:r>
          </w:p>
        </w:tc>
        <w:tc>
          <w:tcPr>
            <w:tcW w:type="dxa" w:w="631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-40℃~+70℃</w:t>
            </w:r>
            <w:r>
              <w:rPr>
                <w:sz w:val="21"/>
              </w:rPr>
              <w:t>。</w:t>
            </w:r>
          </w:p>
        </w:tc>
      </w:tr>
      <w:tr>
        <w:tc>
          <w:tcPr>
            <w:tcW w:type="dxa" w:w="198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防护等级</w:t>
            </w:r>
          </w:p>
        </w:tc>
        <w:tc>
          <w:tcPr>
            <w:tcW w:type="dxa" w:w="631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≥IP66</w:t>
            </w:r>
            <w:r>
              <w:rPr>
                <w:sz w:val="21"/>
              </w:rPr>
              <w:t>。</w:t>
            </w:r>
          </w:p>
        </w:tc>
      </w:tr>
    </w:tbl>
    <w:p>
      <w:pPr>
        <w:pStyle w:val="null3"/>
        <w:ind w:firstLine="420"/>
      </w:pPr>
      <w:r>
        <w:rPr>
          <w:sz w:val="21"/>
        </w:rPr>
        <w:t>3.双向双</w:t>
      </w:r>
      <w:r>
        <w:rPr>
          <w:sz w:val="21"/>
        </w:rPr>
        <w:t>镜头</w:t>
      </w:r>
      <w:r>
        <w:rPr>
          <w:sz w:val="21"/>
        </w:rPr>
        <w:t>摄像机</w:t>
      </w:r>
    </w:p>
    <w:tbl>
      <w:tblPr>
        <w:tblW w:w="0" w:type="auto"/>
        <w:tblBorders>
          <w:top w:val="none" w:color="000000" w:sz="4"/>
          <w:left w:val="none" w:color="000000" w:sz="4"/>
          <w:bottom w:val="none" w:color="000000" w:sz="4"/>
          <w:right w:val="none" w:color="000000" w:sz="4"/>
          <w:insideH w:val="none"/>
          <w:insideV w:val="none"/>
        </w:tblBorders>
      </w:tblPr>
      <w:tblGrid>
        <w:gridCol w:w="1995"/>
        <w:gridCol w:w="6309"/>
      </w:tblGrid>
      <w:tr>
        <w:tc>
          <w:tcPr>
            <w:tcW w:type="dxa" w:w="1995"/>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参数项</w:t>
            </w:r>
          </w:p>
        </w:tc>
        <w:tc>
          <w:tcPr>
            <w:tcW w:type="dxa" w:w="6309"/>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技术规格要求</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传感器类型</w:t>
            </w:r>
          </w:p>
        </w:tc>
        <w:tc>
          <w:tcPr>
            <w:tcW w:type="dxa" w:w="630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内置不少于</w:t>
            </w:r>
            <w:r>
              <w:rPr>
                <w:sz w:val="21"/>
              </w:rPr>
              <w:t>2颗靶面尺寸为≥1/1.8英寸的CMOS图像传感器</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像素</w:t>
            </w:r>
          </w:p>
        </w:tc>
        <w:tc>
          <w:tcPr>
            <w:tcW w:type="dxa" w:w="630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通道</w:t>
            </w:r>
            <w:r>
              <w:rPr>
                <w:sz w:val="21"/>
              </w:rPr>
              <w:t>1：≥400万；通道2：≥400万</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分辨率</w:t>
            </w:r>
          </w:p>
        </w:tc>
        <w:tc>
          <w:tcPr>
            <w:tcW w:type="dxa" w:w="630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通道</w:t>
            </w:r>
            <w:r>
              <w:rPr>
                <w:sz w:val="21"/>
              </w:rPr>
              <w:t>1：≥2688×1520；通道2：≥2688×1520</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最低照度</w:t>
            </w:r>
          </w:p>
        </w:tc>
        <w:tc>
          <w:tcPr>
            <w:tcW w:type="dxa" w:w="630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≤0.002lux（彩色模式）；≤0.0002lux（黑白模式）；0lux（补光灯开启）</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补光距离</w:t>
            </w:r>
          </w:p>
        </w:tc>
        <w:tc>
          <w:tcPr>
            <w:tcW w:type="dxa" w:w="630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≥60m（红外）；≥40m（暖光）；≥4m（人脸检测距离）</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补光灯</w:t>
            </w:r>
          </w:p>
        </w:tc>
        <w:tc>
          <w:tcPr>
            <w:tcW w:type="dxa" w:w="630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补光灯：</w:t>
            </w:r>
            <w:r>
              <w:rPr>
                <w:sz w:val="21"/>
              </w:rPr>
              <w:t>≥8颗</w:t>
            </w:r>
            <w:r>
              <w:rPr>
                <w:sz w:val="21"/>
              </w:rPr>
              <w:t>；</w:t>
            </w:r>
            <w:r>
              <w:rPr>
                <w:sz w:val="21"/>
              </w:rPr>
              <w:t>红外</w:t>
            </w:r>
            <w:r>
              <w:rPr>
                <w:sz w:val="21"/>
              </w:rPr>
              <w:t>+暖光灯</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补光灯结构</w:t>
            </w:r>
          </w:p>
        </w:tc>
        <w:tc>
          <w:tcPr>
            <w:tcW w:type="dxa" w:w="630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after="120"/>
              <w:jc w:val="both"/>
            </w:pPr>
            <w:r>
              <w:rPr>
                <w:sz w:val="21"/>
              </w:rPr>
              <w:t>补光灯表面为微四边形阵列，采用多层透镜结构</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镜头调节功能</w:t>
            </w:r>
          </w:p>
        </w:tc>
        <w:tc>
          <w:tcPr>
            <w:tcW w:type="dxa" w:w="630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after="120"/>
              <w:jc w:val="both"/>
            </w:pPr>
            <w:r>
              <w:rPr>
                <w:sz w:val="21"/>
              </w:rPr>
              <w:t>▲</w:t>
            </w:r>
            <w:r>
              <w:rPr>
                <w:sz w:val="21"/>
              </w:rPr>
              <w:t>设备支持双路电动变倍聚焦及一键聚焦</w:t>
            </w:r>
            <w:r>
              <w:rPr>
                <w:sz w:val="21"/>
              </w:rPr>
              <w:t>。</w:t>
            </w:r>
          </w:p>
          <w:p>
            <w:pPr>
              <w:pStyle w:val="null3"/>
              <w:spacing w:after="120"/>
              <w:jc w:val="both"/>
            </w:pPr>
            <w:r>
              <w:rPr>
                <w:sz w:val="21"/>
              </w:rPr>
              <w:t>（提供报告首页具有</w:t>
            </w:r>
            <w:r>
              <w:rPr>
                <w:sz w:val="21"/>
              </w:rPr>
              <w:t>CNAS 和 CMA 标识的第三方检测报告复印件，</w:t>
            </w:r>
            <w:r>
              <w:rPr>
                <w:sz w:val="21"/>
              </w:rPr>
              <w:t>并</w:t>
            </w:r>
            <w:r>
              <w:rPr>
                <w:sz w:val="21"/>
              </w:rPr>
              <w:t>加盖厂商投标专用章或公章</w:t>
            </w:r>
            <w:r>
              <w:rPr>
                <w:sz w:val="21"/>
              </w:rPr>
              <w:t>，注明</w:t>
            </w:r>
            <w:r>
              <w:rPr>
                <w:sz w:val="21"/>
              </w:rPr>
              <w:t>采购</w:t>
            </w:r>
            <w:r>
              <w:rPr>
                <w:sz w:val="21"/>
              </w:rPr>
              <w:t>项目名称的水印</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镜头焦距</w:t>
            </w:r>
          </w:p>
        </w:tc>
        <w:tc>
          <w:tcPr>
            <w:tcW w:type="dxa" w:w="630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通道</w:t>
            </w:r>
            <w:r>
              <w:rPr>
                <w:sz w:val="21"/>
              </w:rPr>
              <w:t>1：至少2.7mm～13.5mm；通道2：至少2.7mm～13.5mm</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视场角</w:t>
            </w:r>
          </w:p>
        </w:tc>
        <w:tc>
          <w:tcPr>
            <w:tcW w:type="dxa" w:w="630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通道</w:t>
            </w:r>
            <w:r>
              <w:rPr>
                <w:sz w:val="21"/>
              </w:rPr>
              <w:t>1：水平：至少104°～29°；垂直：至少54°～16°；对角：至少125°～34°；通道2：水平：至少104°～29°；垂直：至少54°～16°；至少对角：125°～34°</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视频压缩标准</w:t>
            </w:r>
          </w:p>
        </w:tc>
        <w:tc>
          <w:tcPr>
            <w:tcW w:type="dxa" w:w="630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H.265；H.264；MJPEG</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视频帧率</w:t>
            </w:r>
          </w:p>
        </w:tc>
        <w:tc>
          <w:tcPr>
            <w:tcW w:type="dxa" w:w="630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通道</w:t>
            </w:r>
            <w:r>
              <w:rPr>
                <w:sz w:val="21"/>
              </w:rPr>
              <w:t>1：</w:t>
            </w:r>
          </w:p>
          <w:p>
            <w:pPr>
              <w:pStyle w:val="null3"/>
              <w:jc w:val="both"/>
            </w:pPr>
            <w:r>
              <w:rPr>
                <w:sz w:val="21"/>
              </w:rPr>
              <w:t>≥</w:t>
            </w:r>
            <w:r>
              <w:rPr>
                <w:sz w:val="21"/>
              </w:rPr>
              <w:t>50Hz：主码流（</w:t>
            </w:r>
            <w:r>
              <w:rPr>
                <w:sz w:val="21"/>
              </w:rPr>
              <w:t>≥</w:t>
            </w:r>
            <w:r>
              <w:rPr>
                <w:sz w:val="21"/>
              </w:rPr>
              <w:t>2688×1520@25fps），辅码流（</w:t>
            </w:r>
            <w:r>
              <w:rPr>
                <w:sz w:val="21"/>
              </w:rPr>
              <w:t>≥</w:t>
            </w:r>
            <w:r>
              <w:rPr>
                <w:sz w:val="21"/>
              </w:rPr>
              <w:t>704×576@25fps），第三码流（</w:t>
            </w:r>
            <w:r>
              <w:rPr>
                <w:sz w:val="21"/>
              </w:rPr>
              <w:t>≥</w:t>
            </w:r>
            <w:r>
              <w:rPr>
                <w:sz w:val="21"/>
              </w:rPr>
              <w:t>1920×1080@25fps）</w:t>
            </w:r>
            <w:r>
              <w:rPr>
                <w:sz w:val="21"/>
              </w:rPr>
              <w:t>。</w:t>
            </w:r>
          </w:p>
          <w:p>
            <w:pPr>
              <w:pStyle w:val="null3"/>
              <w:jc w:val="both"/>
            </w:pPr>
            <w:r>
              <w:rPr>
                <w:sz w:val="21"/>
              </w:rPr>
              <w:t>通道</w:t>
            </w:r>
            <w:r>
              <w:rPr>
                <w:sz w:val="21"/>
              </w:rPr>
              <w:t>2：</w:t>
            </w:r>
          </w:p>
          <w:p>
            <w:pPr>
              <w:pStyle w:val="null3"/>
              <w:jc w:val="both"/>
            </w:pPr>
            <w:r>
              <w:rPr>
                <w:sz w:val="21"/>
              </w:rPr>
              <w:t>≥</w:t>
            </w:r>
            <w:r>
              <w:rPr>
                <w:sz w:val="21"/>
              </w:rPr>
              <w:t>50Hz：主码流（</w:t>
            </w:r>
            <w:r>
              <w:rPr>
                <w:sz w:val="21"/>
              </w:rPr>
              <w:t>≥</w:t>
            </w:r>
            <w:r>
              <w:rPr>
                <w:sz w:val="21"/>
              </w:rPr>
              <w:t>2688×1520@25fps），辅码流（</w:t>
            </w:r>
            <w:r>
              <w:rPr>
                <w:sz w:val="21"/>
              </w:rPr>
              <w:t>≥</w:t>
            </w:r>
            <w:r>
              <w:rPr>
                <w:sz w:val="21"/>
              </w:rPr>
              <w:t>704×576@25fps），第三码流（</w:t>
            </w:r>
            <w:r>
              <w:rPr>
                <w:sz w:val="21"/>
              </w:rPr>
              <w:t>≥</w:t>
            </w:r>
            <w:r>
              <w:rPr>
                <w:sz w:val="21"/>
              </w:rPr>
              <w:t>1920×1080@25fps）</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周界防范</w:t>
            </w:r>
          </w:p>
        </w:tc>
        <w:tc>
          <w:tcPr>
            <w:tcW w:type="dxa" w:w="630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绊线入侵；区域入侵；快速移动；徘徊检测；人员聚集；停车检测</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人脸检测</w:t>
            </w:r>
          </w:p>
        </w:tc>
        <w:tc>
          <w:tcPr>
            <w:tcW w:type="dxa" w:w="630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支持人脸检测；支持跟踪；支持优选；支持抓拍；支持上报最优的人脸抓图；支持人脸抓图增强，支持人脸曝光；支持人脸属性提取；支持人脸抠图区域可设：人脸，单寸照，自定义；支持实时抓拍、优选抓拍、质量优先三种抓拍策略；支持人脸角度过滤功能；支持优选时长可设</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人数统计</w:t>
            </w:r>
          </w:p>
        </w:tc>
        <w:tc>
          <w:tcPr>
            <w:tcW w:type="dxa" w:w="630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支持绊线人数统计，并可显示及输出日、周、月、年统计报表；支持区域内人数统计，并可显示及输出日、周、月统计报表；支持排队管理功能，并可显示及输出日、周、月统计报表</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道路监控</w:t>
            </w:r>
          </w:p>
        </w:tc>
        <w:tc>
          <w:tcPr>
            <w:tcW w:type="dxa" w:w="630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支持上传机动车全景图、车身图、车牌，支持上传非机动车全景图、车身图；支持绘制车道，支持车道方向可设，支持车流量统计</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智能方案切换功能</w:t>
            </w:r>
          </w:p>
        </w:tc>
        <w:tc>
          <w:tcPr>
            <w:tcW w:type="dxa" w:w="630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双通道智能方案可独立开启</w:t>
            </w:r>
            <w:r>
              <w:rPr>
                <w:sz w:val="21"/>
              </w:rPr>
              <w:t>/关闭，支持</w:t>
            </w:r>
            <w:r>
              <w:rPr>
                <w:sz w:val="21"/>
              </w:rPr>
              <w:t>≥</w:t>
            </w:r>
            <w:r>
              <w:rPr>
                <w:sz w:val="21"/>
              </w:rPr>
              <w:t>5种智能方案切换，包括</w:t>
            </w:r>
            <w:r>
              <w:rPr>
                <w:sz w:val="21"/>
              </w:rPr>
              <w:t>但不限于</w:t>
            </w:r>
            <w:r>
              <w:rPr>
                <w:sz w:val="21"/>
              </w:rPr>
              <w:t>：通用行为分析、人脸检测、人数统计、热度图、道路监控</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宽动态</w:t>
            </w:r>
          </w:p>
        </w:tc>
        <w:tc>
          <w:tcPr>
            <w:tcW w:type="dxa" w:w="630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≥120dB</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音频功能</w:t>
            </w:r>
          </w:p>
        </w:tc>
        <w:tc>
          <w:tcPr>
            <w:tcW w:type="dxa" w:w="630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after="120"/>
              <w:jc w:val="both"/>
            </w:pPr>
            <w:r>
              <w:rPr>
                <w:sz w:val="21"/>
              </w:rPr>
              <w:t>▲内置≥4个麦克风、≥2个扬声器</w:t>
            </w:r>
            <w:r>
              <w:rPr>
                <w:sz w:val="21"/>
              </w:rPr>
              <w:t>。</w:t>
            </w:r>
          </w:p>
          <w:p>
            <w:pPr>
              <w:pStyle w:val="null3"/>
              <w:spacing w:after="120"/>
              <w:jc w:val="both"/>
            </w:pPr>
            <w:r>
              <w:rPr>
                <w:sz w:val="21"/>
              </w:rPr>
              <w:t>（提供报告首页具有</w:t>
            </w:r>
            <w:r>
              <w:rPr>
                <w:sz w:val="21"/>
              </w:rPr>
              <w:t>CNAS和CMA 标识的第三方检测报告复印件，并加盖厂商投标专用章或公章</w:t>
            </w:r>
            <w:r>
              <w:rPr>
                <w:sz w:val="21"/>
              </w:rPr>
              <w:t>，注明</w:t>
            </w:r>
            <w:r>
              <w:rPr>
                <w:sz w:val="21"/>
              </w:rPr>
              <w:t>采购</w:t>
            </w:r>
            <w:r>
              <w:rPr>
                <w:sz w:val="21"/>
              </w:rPr>
              <w:t>项目名称的水印</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报警事件</w:t>
            </w:r>
          </w:p>
        </w:tc>
        <w:tc>
          <w:tcPr>
            <w:tcW w:type="dxa" w:w="630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报警事件：无</w:t>
            </w:r>
            <w:r>
              <w:rPr>
                <w:sz w:val="21"/>
              </w:rPr>
              <w:t>SD卡；SD卡空间不足；SD卡出错；网络断开；IP冲突；非法访问；动态检测；视频遮挡；绊线入侵；区域入侵；快速移动；物品遗留；物品搬移；徘徊检测；人员聚集；停车检测；场景变更；音频异常侦测；电压检测；虚焦侦测；外部报警；人脸检测；区域内人数统计；人数统计；人数异常检测；安全异常</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接入标准</w:t>
            </w:r>
          </w:p>
        </w:tc>
        <w:tc>
          <w:tcPr>
            <w:tcW w:type="dxa" w:w="630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ONVIF；GB/T</w:t>
            </w:r>
            <w:r>
              <w:rPr>
                <w:sz w:val="21"/>
              </w:rPr>
              <w:t xml:space="preserve"> </w:t>
            </w:r>
            <w:r>
              <w:rPr>
                <w:sz w:val="21"/>
              </w:rPr>
              <w:t>28181；GA/T</w:t>
            </w:r>
            <w:r>
              <w:rPr>
                <w:sz w:val="21"/>
              </w:rPr>
              <w:t xml:space="preserve"> </w:t>
            </w:r>
            <w:r>
              <w:rPr>
                <w:sz w:val="21"/>
              </w:rPr>
              <w:t>1400；GB</w:t>
            </w:r>
            <w:r>
              <w:rPr>
                <w:sz w:val="21"/>
              </w:rPr>
              <w:t xml:space="preserve"> </w:t>
            </w:r>
            <w:r>
              <w:rPr>
                <w:sz w:val="21"/>
              </w:rPr>
              <w:t>35114 A级</w:t>
            </w:r>
            <w:r>
              <w:rPr>
                <w:sz w:val="21"/>
              </w:rPr>
              <w:t>或以上</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存储功能</w:t>
            </w:r>
          </w:p>
        </w:tc>
        <w:tc>
          <w:tcPr>
            <w:tcW w:type="dxa" w:w="630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FTP；SFTP；Micro SD卡（支持≥1TB）；NAS</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RS-485接口</w:t>
            </w:r>
          </w:p>
        </w:tc>
        <w:tc>
          <w:tcPr>
            <w:tcW w:type="dxa" w:w="630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≥1个</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音频输入</w:t>
            </w:r>
          </w:p>
        </w:tc>
        <w:tc>
          <w:tcPr>
            <w:tcW w:type="dxa" w:w="630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≥1路</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音频输出</w:t>
            </w:r>
          </w:p>
        </w:tc>
        <w:tc>
          <w:tcPr>
            <w:tcW w:type="dxa" w:w="630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≥1路</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报警输入</w:t>
            </w:r>
          </w:p>
        </w:tc>
        <w:tc>
          <w:tcPr>
            <w:tcW w:type="dxa" w:w="630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≥2路</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报警输出</w:t>
            </w:r>
          </w:p>
        </w:tc>
        <w:tc>
          <w:tcPr>
            <w:tcW w:type="dxa" w:w="630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≥2路</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电源返送</w:t>
            </w:r>
          </w:p>
        </w:tc>
        <w:tc>
          <w:tcPr>
            <w:tcW w:type="dxa" w:w="630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支持</w:t>
            </w:r>
            <w:r>
              <w:rPr>
                <w:sz w:val="21"/>
              </w:rPr>
              <w:t>DC12V电源返送，电流≥165mA</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供电方式</w:t>
            </w:r>
          </w:p>
        </w:tc>
        <w:tc>
          <w:tcPr>
            <w:tcW w:type="dxa" w:w="630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DC12V/PoE</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防护等级</w:t>
            </w:r>
          </w:p>
        </w:tc>
        <w:tc>
          <w:tcPr>
            <w:tcW w:type="dxa" w:w="630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≥IP66</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安装方式</w:t>
            </w:r>
          </w:p>
        </w:tc>
        <w:tc>
          <w:tcPr>
            <w:tcW w:type="dxa" w:w="630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after="120"/>
              <w:jc w:val="both"/>
            </w:pPr>
            <w:r>
              <w:rPr>
                <w:sz w:val="21"/>
              </w:rPr>
              <w:t>▲</w:t>
            </w:r>
            <w:r>
              <w:rPr>
                <w:sz w:val="21"/>
              </w:rPr>
              <w:t>自带一体式抱箍支架，支持双向抱箍安装</w:t>
            </w:r>
            <w:r>
              <w:rPr>
                <w:sz w:val="21"/>
              </w:rPr>
              <w:t>。</w:t>
            </w:r>
          </w:p>
          <w:p>
            <w:pPr>
              <w:pStyle w:val="null3"/>
              <w:spacing w:after="120"/>
              <w:jc w:val="both"/>
            </w:pPr>
            <w:r>
              <w:rPr>
                <w:sz w:val="21"/>
              </w:rPr>
              <w:t>（提供报告首页具有</w:t>
            </w:r>
            <w:r>
              <w:rPr>
                <w:sz w:val="21"/>
              </w:rPr>
              <w:t>CNAS和CMA 标识的第三方检测报告复印件，并加盖厂商投标专用章或公章</w:t>
            </w:r>
            <w:r>
              <w:rPr>
                <w:sz w:val="21"/>
              </w:rPr>
              <w:t>，注明</w:t>
            </w:r>
            <w:r>
              <w:rPr>
                <w:sz w:val="21"/>
              </w:rPr>
              <w:t>采购</w:t>
            </w:r>
            <w:r>
              <w:rPr>
                <w:sz w:val="21"/>
              </w:rPr>
              <w:t>项目名称的水印</w:t>
            </w:r>
            <w:r>
              <w:rPr>
                <w:sz w:val="21"/>
              </w:rPr>
              <w:t>）</w:t>
            </w:r>
          </w:p>
        </w:tc>
      </w:tr>
    </w:tbl>
    <w:p>
      <w:pPr>
        <w:pStyle w:val="null3"/>
        <w:ind w:firstLine="420"/>
      </w:pPr>
      <w:r>
        <w:rPr>
          <w:sz w:val="21"/>
        </w:rPr>
        <w:t>4.全景云台摄像机</w:t>
      </w:r>
    </w:p>
    <w:tbl>
      <w:tblPr>
        <w:tblW w:w="0" w:type="auto"/>
        <w:tblBorders>
          <w:top w:val="none" w:color="000000" w:sz="4"/>
          <w:left w:val="none" w:color="000000" w:sz="4"/>
          <w:bottom w:val="none" w:color="000000" w:sz="4"/>
          <w:right w:val="none" w:color="000000" w:sz="4"/>
          <w:insideH w:val="none"/>
          <w:insideV w:val="none"/>
        </w:tblBorders>
      </w:tblPr>
      <w:tblGrid>
        <w:gridCol w:w="1995"/>
        <w:gridCol w:w="6308"/>
      </w:tblGrid>
      <w:tr>
        <w:tc>
          <w:tcPr>
            <w:tcW w:type="dxa" w:w="1995"/>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参数项</w:t>
            </w:r>
          </w:p>
        </w:tc>
        <w:tc>
          <w:tcPr>
            <w:tcW w:type="dxa" w:w="6308"/>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技术规格要求</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传感器类型</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≥1/1.8英寸CMOS</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像素</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通道</w:t>
            </w:r>
            <w:r>
              <w:rPr>
                <w:sz w:val="21"/>
              </w:rPr>
              <w:t>1：≥400万 通道2：≥400万</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分辨率</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通道</w:t>
            </w:r>
            <w:r>
              <w:rPr>
                <w:sz w:val="21"/>
              </w:rPr>
              <w:t>1：≥2688×1520；通道2：≥2688×1520</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最低照度</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通道</w:t>
            </w:r>
            <w:r>
              <w:rPr>
                <w:sz w:val="21"/>
              </w:rPr>
              <w:t>1：≤0.002Lux（彩色模式）；≤0.0002Lux（黑白模式）；0Lux（补光灯开启）；通道2：≤0.001Lux（彩色模式）；≤0.0001Lux（黑白模式）；0Lux（补光灯开启）</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补光距离</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通道</w:t>
            </w:r>
            <w:r>
              <w:rPr>
                <w:sz w:val="21"/>
              </w:rPr>
              <w:t>1：≥30m（视频监控距离）通道2：≥100m（视频监控距离）；≥15m（人脸检测距离）</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补光灯</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通道</w:t>
            </w:r>
            <w:r>
              <w:rPr>
                <w:sz w:val="21"/>
              </w:rPr>
              <w:t>1：≥2颗暖光灯</w:t>
            </w:r>
            <w:r>
              <w:rPr>
                <w:sz w:val="21"/>
              </w:rPr>
              <w:t xml:space="preserve"> </w:t>
            </w:r>
            <w:r>
              <w:rPr>
                <w:sz w:val="21"/>
              </w:rPr>
              <w:t>通道</w:t>
            </w:r>
            <w:r>
              <w:rPr>
                <w:sz w:val="21"/>
              </w:rPr>
              <w:t>2（细节）：≥3颗柔光双色灯</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自动分区补光</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after="120"/>
              <w:jc w:val="both"/>
            </w:pPr>
            <w:r>
              <w:rPr>
                <w:sz w:val="22"/>
              </w:rPr>
              <w:t>▲</w:t>
            </w:r>
            <w:r>
              <w:rPr>
                <w:sz w:val="21"/>
              </w:rPr>
              <w:t>支持智能分区补光</w:t>
            </w:r>
            <w:r>
              <w:rPr>
                <w:sz w:val="21"/>
              </w:rPr>
              <w:t>,实现画面多区域补光独立控制,并支持根据画面变化进行自动调节补光强度</w:t>
            </w:r>
            <w:r>
              <w:rPr>
                <w:sz w:val="21"/>
              </w:rPr>
              <w:t>。</w:t>
            </w:r>
          </w:p>
          <w:p>
            <w:pPr>
              <w:pStyle w:val="null3"/>
              <w:spacing w:after="120"/>
              <w:jc w:val="both"/>
            </w:pPr>
            <w:r>
              <w:rPr>
                <w:sz w:val="21"/>
              </w:rPr>
              <w:t>（提供报告首页具有</w:t>
            </w:r>
            <w:r>
              <w:rPr>
                <w:sz w:val="21"/>
              </w:rPr>
              <w:t>CNAS和CMA 标识的第三方检测报告复印件，并加盖厂商投标专用章或公章</w:t>
            </w:r>
            <w:r>
              <w:rPr>
                <w:sz w:val="21"/>
              </w:rPr>
              <w:t>，注明</w:t>
            </w:r>
            <w:r>
              <w:rPr>
                <w:sz w:val="21"/>
              </w:rPr>
              <w:t>采购</w:t>
            </w:r>
            <w:r>
              <w:rPr>
                <w:sz w:val="21"/>
              </w:rPr>
              <w:t>项目名称的水印</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镜头焦距</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通道</w:t>
            </w:r>
            <w:r>
              <w:rPr>
                <w:sz w:val="21"/>
              </w:rPr>
              <w:t>1：</w:t>
            </w:r>
            <w:r>
              <w:rPr>
                <w:sz w:val="21"/>
              </w:rPr>
              <w:t>3.5</w:t>
            </w:r>
            <w:r>
              <w:rPr>
                <w:sz w:val="21"/>
              </w:rPr>
              <w:t>～</w:t>
            </w:r>
            <w:r>
              <w:rPr>
                <w:sz w:val="21"/>
              </w:rPr>
              <w:t>3.8</w:t>
            </w:r>
            <w:r>
              <w:rPr>
                <w:sz w:val="21"/>
              </w:rPr>
              <w:t>mm；通道2：至少8mm～32mm</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视场角</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通道</w:t>
            </w:r>
            <w:r>
              <w:rPr>
                <w:sz w:val="21"/>
              </w:rPr>
              <w:t>1：水平：至少82°；垂直：至少44°；对角：至少96°；通道2：水平：至少41°～15°；垂直：至少22°～9°；对角：至少48°～18°</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云台旋转调节功能</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after="120"/>
              <w:jc w:val="both"/>
            </w:pPr>
            <w:r>
              <w:rPr>
                <w:sz w:val="22"/>
              </w:rPr>
              <w:t>▲</w:t>
            </w:r>
            <w:r>
              <w:rPr>
                <w:sz w:val="21"/>
              </w:rPr>
              <w:t>可通过浏览器自定义旋转角度</w:t>
            </w:r>
            <w:r>
              <w:rPr>
                <w:sz w:val="21"/>
              </w:rPr>
              <w:t>,可一键调节云台至设置的角度</w:t>
            </w:r>
            <w:r>
              <w:rPr>
                <w:sz w:val="21"/>
              </w:rPr>
              <w:t>。</w:t>
            </w:r>
          </w:p>
          <w:p>
            <w:pPr>
              <w:pStyle w:val="null3"/>
              <w:spacing w:after="120"/>
              <w:jc w:val="both"/>
            </w:pPr>
            <w:r>
              <w:rPr>
                <w:sz w:val="21"/>
              </w:rPr>
              <w:t>（提供报告首页具有</w:t>
            </w:r>
            <w:r>
              <w:rPr>
                <w:sz w:val="21"/>
              </w:rPr>
              <w:t>CNAS和CMA 标识的第三方检测报告复印件，并加盖厂商投标专用章或公章</w:t>
            </w:r>
            <w:r>
              <w:rPr>
                <w:sz w:val="21"/>
              </w:rPr>
              <w:t>，注明</w:t>
            </w:r>
            <w:r>
              <w:rPr>
                <w:sz w:val="21"/>
              </w:rPr>
              <w:t>采购</w:t>
            </w:r>
            <w:r>
              <w:rPr>
                <w:sz w:val="21"/>
              </w:rPr>
              <w:t>项目名称的水印</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周界防范</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绊线入侵；区域入侵；快速移动；徘徊检测；人员聚集；停车检测</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人脸检测</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支持人脸检测；支持跟踪；支持优选；支持抓拍；支持上报最优的人脸抓图；支持人脸增强，支持人脸曝光；支持人脸属性提取；支持人脸抠图区域可设</w:t>
            </w:r>
            <w:r>
              <w:rPr>
                <w:sz w:val="21"/>
              </w:rPr>
              <w:t>:人脸， 单寸照，自定义；支持实时抓拍、优选抓拍、质量优先三种抓拍策略；支持人脸角度过滤功能；支持优选时长可设</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人脸识别</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支持人脸检测；支持跟踪；支持优选；支持抓拍；支持上报最优的人脸抓图；支持人脸增强，人脸曝光；支持人脸属性提取；支持人脸抠图区域可设：人脸，单寸照，自定义；支持优选抓拍、识别优先</w:t>
            </w:r>
            <w:r>
              <w:rPr>
                <w:sz w:val="21"/>
              </w:rPr>
              <w:t>2种抓拍策略；支持人脸角度过滤功能；支持优选时长可设；支持添加≥5个人脸库；支持单个以及批量人员注册；支持人脸识别相似度设置</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人数统计</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人数统计：支持绊线人数统计，并可显示及输出日、月、年统计报表；支持区域内人数统计，支持排队管理功能，并可显示及输出日、月统计报表</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道路监控</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支持非机动车逆行检测；支持机动车占道检测；支持卡口；支持交通拥堵；支持绘制</w:t>
            </w:r>
            <w:r>
              <w:rPr>
                <w:sz w:val="21"/>
              </w:rPr>
              <w:t>≥4个车道；支持车道方向可设；支持车辆拥堵阈值可设；支持拥堵时间可设</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视频结构化</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支持机动车、非机动车、人脸、人体检测；支持跟踪；支持优选；支持抓拍；支持上报最优的人脸抓图机动车属性、非机动车属性、人体属性、人脸属性</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视频压缩标准</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H.265；H.264；MJPEG</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视频帧率</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通道</w:t>
            </w:r>
            <w:r>
              <w:rPr>
                <w:sz w:val="21"/>
              </w:rPr>
              <w:t>1：</w:t>
            </w:r>
            <w:r>
              <w:rPr>
                <w:sz w:val="21"/>
              </w:rPr>
              <w:t>≥</w:t>
            </w:r>
            <w:r>
              <w:rPr>
                <w:sz w:val="21"/>
              </w:rPr>
              <w:t>50Hz：主码流（</w:t>
            </w:r>
            <w:r>
              <w:rPr>
                <w:sz w:val="21"/>
              </w:rPr>
              <w:t>≥</w:t>
            </w:r>
            <w:r>
              <w:rPr>
                <w:sz w:val="21"/>
              </w:rPr>
              <w:t>2688×1520@25fps），辅码流（</w:t>
            </w:r>
            <w:r>
              <w:rPr>
                <w:sz w:val="21"/>
              </w:rPr>
              <w:t>≥</w:t>
            </w:r>
            <w:r>
              <w:rPr>
                <w:sz w:val="21"/>
              </w:rPr>
              <w:t>704×576@25fps），第三码流（</w:t>
            </w:r>
            <w:r>
              <w:rPr>
                <w:sz w:val="21"/>
              </w:rPr>
              <w:t>≥</w:t>
            </w:r>
            <w:r>
              <w:rPr>
                <w:sz w:val="21"/>
              </w:rPr>
              <w:t>1920×1080@25fps）；通道2：</w:t>
            </w:r>
            <w:r>
              <w:rPr>
                <w:sz w:val="21"/>
              </w:rPr>
              <w:t>≥</w:t>
            </w:r>
            <w:r>
              <w:rPr>
                <w:sz w:val="21"/>
              </w:rPr>
              <w:t>50Hz：主码流（</w:t>
            </w:r>
            <w:r>
              <w:rPr>
                <w:sz w:val="21"/>
              </w:rPr>
              <w:t>≥</w:t>
            </w:r>
            <w:r>
              <w:rPr>
                <w:sz w:val="21"/>
              </w:rPr>
              <w:t>2688×1520@25fps），辅码流（</w:t>
            </w:r>
            <w:r>
              <w:rPr>
                <w:sz w:val="21"/>
              </w:rPr>
              <w:t>≥</w:t>
            </w:r>
            <w:r>
              <w:rPr>
                <w:sz w:val="21"/>
              </w:rPr>
              <w:t>704×576@25fps），第三码流（</w:t>
            </w:r>
            <w:r>
              <w:rPr>
                <w:sz w:val="21"/>
              </w:rPr>
              <w:t>≥</w:t>
            </w:r>
            <w:r>
              <w:rPr>
                <w:sz w:val="21"/>
              </w:rPr>
              <w:t>1920×1080@25fps）</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宽动态</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 xml:space="preserve">≥120dB </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水平度检测功能</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after="120"/>
              <w:jc w:val="both"/>
            </w:pPr>
            <w:r>
              <w:rPr>
                <w:sz w:val="22"/>
              </w:rPr>
              <w:t>▲</w:t>
            </w:r>
            <w:r>
              <w:rPr>
                <w:sz w:val="21"/>
              </w:rPr>
              <w:t>机身外壳内嵌圆形水平仪</w:t>
            </w:r>
            <w:r>
              <w:rPr>
                <w:sz w:val="21"/>
              </w:rPr>
              <w:t>,可检测设备前后方向、左右方向的水平程度</w:t>
            </w:r>
            <w:r>
              <w:rPr>
                <w:sz w:val="21"/>
              </w:rPr>
              <w:t>。</w:t>
            </w:r>
          </w:p>
          <w:p>
            <w:pPr>
              <w:pStyle w:val="null3"/>
              <w:spacing w:after="120"/>
              <w:jc w:val="both"/>
            </w:pPr>
            <w:r>
              <w:rPr>
                <w:sz w:val="21"/>
              </w:rPr>
              <w:t>（提供报告首页具有</w:t>
            </w:r>
            <w:r>
              <w:rPr>
                <w:sz w:val="21"/>
              </w:rPr>
              <w:t>CNAS和CMA 标识的第三方检测报告复印件，并加盖厂商投标专用章或公章</w:t>
            </w:r>
            <w:r>
              <w:rPr>
                <w:sz w:val="21"/>
              </w:rPr>
              <w:t>，注明</w:t>
            </w:r>
            <w:r>
              <w:rPr>
                <w:sz w:val="21"/>
              </w:rPr>
              <w:t>采购</w:t>
            </w:r>
            <w:r>
              <w:rPr>
                <w:sz w:val="21"/>
              </w:rPr>
              <w:t>项目名称的水印</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内置</w:t>
            </w:r>
            <w:r>
              <w:rPr>
                <w:sz w:val="21"/>
              </w:rPr>
              <w:t>MIC</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内置</w:t>
            </w:r>
            <w:r>
              <w:rPr>
                <w:sz w:val="21"/>
              </w:rPr>
              <w:t>不少于</w:t>
            </w:r>
            <w:r>
              <w:rPr>
                <w:sz w:val="21"/>
              </w:rPr>
              <w:t>双</w:t>
            </w:r>
            <w:r>
              <w:rPr>
                <w:sz w:val="21"/>
              </w:rPr>
              <w:t>MIC</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内置扬声器</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内置</w:t>
            </w:r>
            <w:r>
              <w:rPr>
                <w:sz w:val="21"/>
              </w:rPr>
              <w:t>≥1个扬声器</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网络接口</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w:t>
            </w:r>
            <w:r>
              <w:rPr>
                <w:sz w:val="21"/>
              </w:rPr>
              <w:t>1个RJ-45网口，支持10M/100M/1000M 网络数据</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接入标准</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GB/T</w:t>
            </w:r>
            <w:r>
              <w:rPr>
                <w:sz w:val="21"/>
              </w:rPr>
              <w:t xml:space="preserve"> </w:t>
            </w:r>
            <w:r>
              <w:rPr>
                <w:sz w:val="21"/>
              </w:rPr>
              <w:t>28181；GA/T</w:t>
            </w:r>
            <w:r>
              <w:rPr>
                <w:sz w:val="21"/>
              </w:rPr>
              <w:t xml:space="preserve"> </w:t>
            </w:r>
            <w:r>
              <w:rPr>
                <w:sz w:val="21"/>
              </w:rPr>
              <w:t>1400；GB</w:t>
            </w:r>
            <w:r>
              <w:rPr>
                <w:sz w:val="21"/>
              </w:rPr>
              <w:t xml:space="preserve"> </w:t>
            </w:r>
            <w:r>
              <w:rPr>
                <w:sz w:val="21"/>
              </w:rPr>
              <w:t>35114 A级</w:t>
            </w:r>
            <w:r>
              <w:rPr>
                <w:sz w:val="21"/>
              </w:rPr>
              <w:t>或以上</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RS-485接口</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≥1个</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音频输入</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≥2路</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音频输出</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≥1路</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报警输入</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≥3路</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报警输出</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≥2路</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模拟输出接口</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≥1路</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电源返送</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支持</w:t>
            </w:r>
            <w:r>
              <w:rPr>
                <w:sz w:val="21"/>
              </w:rPr>
              <w:t>DC12V电源返送，电流≥165mA</w:t>
            </w:r>
            <w:r>
              <w:rPr>
                <w:sz w:val="21"/>
              </w:rPr>
              <w:t>。</w:t>
            </w:r>
          </w:p>
        </w:tc>
      </w:tr>
      <w:tr>
        <w:tc>
          <w:tcPr>
            <w:tcW w:type="dxa" w:w="19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防护等级</w:t>
            </w:r>
          </w:p>
        </w:tc>
        <w:tc>
          <w:tcPr>
            <w:tcW w:type="dxa" w:w="63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≥IP66</w:t>
            </w:r>
            <w:r>
              <w:rPr>
                <w:sz w:val="21"/>
              </w:rPr>
              <w:t>。</w:t>
            </w:r>
          </w:p>
        </w:tc>
      </w:tr>
    </w:tbl>
    <w:p>
      <w:pPr>
        <w:pStyle w:val="null3"/>
        <w:ind w:firstLine="420"/>
      </w:pPr>
      <w:r>
        <w:rPr>
          <w:sz w:val="21"/>
        </w:rPr>
        <w:t>5.2400w/270°多镜头智能高清枪球一体摄像机</w:t>
      </w:r>
    </w:p>
    <w:tbl>
      <w:tblPr>
        <w:tblW w:w="0" w:type="auto"/>
        <w:tblBorders>
          <w:top w:val="none" w:color="000000" w:sz="4"/>
          <w:left w:val="none" w:color="000000" w:sz="4"/>
          <w:bottom w:val="none" w:color="000000" w:sz="4"/>
          <w:right w:val="none" w:color="000000" w:sz="4"/>
          <w:insideH w:val="none"/>
          <w:insideV w:val="none"/>
        </w:tblBorders>
      </w:tblPr>
      <w:tblGrid>
        <w:gridCol w:w="1993"/>
        <w:gridCol w:w="6310"/>
      </w:tblGrid>
      <w:tr>
        <w:tc>
          <w:tcPr>
            <w:tcW w:type="dxa" w:w="1993"/>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参数项</w:t>
            </w:r>
          </w:p>
        </w:tc>
        <w:tc>
          <w:tcPr>
            <w:tcW w:type="dxa" w:w="6310"/>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技术规格要求</w:t>
            </w:r>
          </w:p>
        </w:tc>
      </w:tr>
      <w:tr>
        <w:tc>
          <w:tcPr>
            <w:tcW w:type="dxa" w:w="19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设备特征描述</w:t>
            </w:r>
          </w:p>
        </w:tc>
        <w:tc>
          <w:tcPr>
            <w:tcW w:type="dxa" w:w="631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配备</w:t>
            </w:r>
            <w:r>
              <w:rPr>
                <w:sz w:val="21"/>
              </w:rPr>
              <w:t>6个以上（含）镜头，可实现多个视频画面的拼接。其中，可旋转镜头通常采用变焦镜头，支持水平360°和垂直-10°~90°旋转控制，具有观测距离为1～2km场景的视频图像采集功能；固定镜头通常采用定焦镜头，具有全彩视频图像采集功能，可拼接形成270°的视频画面</w:t>
            </w:r>
            <w:r>
              <w:rPr>
                <w:sz w:val="21"/>
              </w:rPr>
              <w:t>。</w:t>
            </w:r>
          </w:p>
        </w:tc>
      </w:tr>
      <w:tr>
        <w:tc>
          <w:tcPr>
            <w:tcW w:type="dxa" w:w="19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传感器类型</w:t>
            </w:r>
          </w:p>
        </w:tc>
        <w:tc>
          <w:tcPr>
            <w:tcW w:type="dxa" w:w="631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≥1/1.8英寸CMOS</w:t>
            </w:r>
            <w:r>
              <w:rPr>
                <w:sz w:val="21"/>
              </w:rPr>
              <w:t>。</w:t>
            </w:r>
          </w:p>
        </w:tc>
      </w:tr>
      <w:tr>
        <w:tc>
          <w:tcPr>
            <w:tcW w:type="dxa" w:w="19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像素</w:t>
            </w:r>
          </w:p>
        </w:tc>
        <w:tc>
          <w:tcPr>
            <w:tcW w:type="dxa" w:w="631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全景：</w:t>
            </w:r>
            <w:r>
              <w:rPr>
                <w:sz w:val="21"/>
              </w:rPr>
              <w:t>≥2400万；球机：≥400万</w:t>
            </w:r>
            <w:r>
              <w:rPr>
                <w:sz w:val="21"/>
              </w:rPr>
              <w:t>。</w:t>
            </w:r>
          </w:p>
        </w:tc>
      </w:tr>
      <w:tr>
        <w:tc>
          <w:tcPr>
            <w:tcW w:type="dxa" w:w="19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分辨率</w:t>
            </w:r>
          </w:p>
        </w:tc>
        <w:tc>
          <w:tcPr>
            <w:tcW w:type="dxa" w:w="631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全景</w:t>
            </w:r>
            <w:r>
              <w:rPr>
                <w:sz w:val="21"/>
              </w:rPr>
              <w:t>:≥8192×2700 球机: ≥2560×1440</w:t>
            </w:r>
            <w:r>
              <w:rPr>
                <w:sz w:val="21"/>
              </w:rPr>
              <w:t>。</w:t>
            </w:r>
          </w:p>
        </w:tc>
      </w:tr>
      <w:tr>
        <w:tc>
          <w:tcPr>
            <w:tcW w:type="dxa" w:w="19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最低照度</w:t>
            </w:r>
          </w:p>
        </w:tc>
        <w:tc>
          <w:tcPr>
            <w:tcW w:type="dxa" w:w="631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全景：</w:t>
            </w:r>
            <w:r>
              <w:rPr>
                <w:sz w:val="21"/>
              </w:rPr>
              <w:t>≤0.0005Lux（彩色模式）；≤0.0001Lux（黑白模式）；球机：≤0.005Lux（彩色模式）；≤0.0005Lux（黑白模式）；0Lux（红外灯开启）</w:t>
            </w:r>
            <w:r>
              <w:rPr>
                <w:sz w:val="21"/>
              </w:rPr>
              <w:t>。</w:t>
            </w:r>
          </w:p>
        </w:tc>
      </w:tr>
      <w:tr>
        <w:tc>
          <w:tcPr>
            <w:tcW w:type="dxa" w:w="19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补光距离</w:t>
            </w:r>
          </w:p>
        </w:tc>
        <w:tc>
          <w:tcPr>
            <w:tcW w:type="dxa" w:w="631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球机：</w:t>
            </w:r>
            <w:r>
              <w:rPr>
                <w:sz w:val="21"/>
              </w:rPr>
              <w:t>≥400米</w:t>
            </w:r>
            <w:r>
              <w:rPr>
                <w:sz w:val="21"/>
              </w:rPr>
              <w:t>。</w:t>
            </w:r>
          </w:p>
        </w:tc>
      </w:tr>
      <w:tr>
        <w:tc>
          <w:tcPr>
            <w:tcW w:type="dxa" w:w="19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补光灯</w:t>
            </w:r>
          </w:p>
        </w:tc>
        <w:tc>
          <w:tcPr>
            <w:tcW w:type="dxa" w:w="631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≥7颗（红外灯）</w:t>
            </w:r>
            <w:r>
              <w:rPr>
                <w:sz w:val="21"/>
              </w:rPr>
              <w:t>。</w:t>
            </w:r>
          </w:p>
        </w:tc>
      </w:tr>
      <w:tr>
        <w:tc>
          <w:tcPr>
            <w:tcW w:type="dxa" w:w="19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镜头焦距</w:t>
            </w:r>
          </w:p>
        </w:tc>
        <w:tc>
          <w:tcPr>
            <w:tcW w:type="dxa" w:w="631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镜头焦距：全景：</w:t>
            </w:r>
            <w:r>
              <w:rPr>
                <w:sz w:val="21"/>
              </w:rPr>
              <w:t>2.6</w:t>
            </w:r>
            <w:r>
              <w:rPr>
                <w:sz w:val="21"/>
              </w:rPr>
              <w:t>～</w:t>
            </w:r>
            <w:r>
              <w:rPr>
                <w:sz w:val="21"/>
              </w:rPr>
              <w:t>3</w:t>
            </w:r>
            <w:r>
              <w:rPr>
                <w:sz w:val="21"/>
              </w:rPr>
              <w:t>mm；球机：至少5.5mm～220mm</w:t>
            </w:r>
            <w:r>
              <w:rPr>
                <w:sz w:val="21"/>
              </w:rPr>
              <w:t>。</w:t>
            </w:r>
          </w:p>
        </w:tc>
      </w:tr>
      <w:tr>
        <w:tc>
          <w:tcPr>
            <w:tcW w:type="dxa" w:w="19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光学变倍</w:t>
            </w:r>
          </w:p>
        </w:tc>
        <w:tc>
          <w:tcPr>
            <w:tcW w:type="dxa" w:w="631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球机</w:t>
            </w:r>
            <w:r>
              <w:rPr>
                <w:sz w:val="21"/>
              </w:rPr>
              <w:t>≥40倍</w:t>
            </w:r>
            <w:r>
              <w:rPr>
                <w:sz w:val="21"/>
              </w:rPr>
              <w:t>。</w:t>
            </w:r>
          </w:p>
        </w:tc>
      </w:tr>
      <w:tr>
        <w:tc>
          <w:tcPr>
            <w:tcW w:type="dxa" w:w="19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视场角</w:t>
            </w:r>
          </w:p>
        </w:tc>
        <w:tc>
          <w:tcPr>
            <w:tcW w:type="dxa" w:w="631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视场角：全景：水平：</w:t>
            </w:r>
            <w:r>
              <w:rPr>
                <w:sz w:val="21"/>
              </w:rPr>
              <w:t>≥270°；垂直：≥103°  球机：水平：至少61.8°～2.2°；垂直：至少36.3°～1.3°；对角：至少69.2°～2.4°</w:t>
            </w:r>
            <w:r>
              <w:rPr>
                <w:sz w:val="21"/>
              </w:rPr>
              <w:t>。</w:t>
            </w:r>
          </w:p>
        </w:tc>
      </w:tr>
      <w:tr>
        <w:tc>
          <w:tcPr>
            <w:tcW w:type="dxa" w:w="19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水平旋转范围</w:t>
            </w:r>
          </w:p>
        </w:tc>
        <w:tc>
          <w:tcPr>
            <w:tcW w:type="dxa" w:w="631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2"/>
              </w:rPr>
              <w:t>▲</w:t>
            </w:r>
            <w:r>
              <w:rPr>
                <w:sz w:val="21"/>
              </w:rPr>
              <w:t>设备可远程实时控制全景通道水平转动</w:t>
            </w:r>
            <w:r>
              <w:rPr>
                <w:sz w:val="21"/>
              </w:rPr>
              <w:t>,转动范围在-30°-</w:t>
            </w:r>
            <w:r>
              <w:rPr>
                <w:sz w:val="21"/>
              </w:rPr>
              <w:t xml:space="preserve"> </w:t>
            </w:r>
            <w:r>
              <w:rPr>
                <w:sz w:val="21"/>
              </w:rPr>
              <w:t>+30°范围内可设</w:t>
            </w:r>
            <w:r>
              <w:rPr>
                <w:sz w:val="21"/>
              </w:rPr>
              <w:t>。</w:t>
            </w:r>
          </w:p>
          <w:p>
            <w:pPr>
              <w:pStyle w:val="null3"/>
              <w:jc w:val="both"/>
            </w:pPr>
            <w:r>
              <w:rPr>
                <w:sz w:val="21"/>
              </w:rPr>
              <w:t>（提供报告首页具有</w:t>
            </w:r>
            <w:r>
              <w:rPr>
                <w:sz w:val="21"/>
              </w:rPr>
              <w:t>CNAS和CMA 标识的第三方检测报告复印件，并加盖厂商投标专用章或公章</w:t>
            </w:r>
            <w:r>
              <w:rPr>
                <w:sz w:val="21"/>
              </w:rPr>
              <w:t>，注明</w:t>
            </w:r>
            <w:r>
              <w:rPr>
                <w:sz w:val="21"/>
              </w:rPr>
              <w:t>采购</w:t>
            </w:r>
            <w:r>
              <w:rPr>
                <w:sz w:val="21"/>
              </w:rPr>
              <w:t>项目名称的水印</w:t>
            </w:r>
            <w:r>
              <w:rPr>
                <w:sz w:val="21"/>
              </w:rPr>
              <w:t>）</w:t>
            </w:r>
          </w:p>
        </w:tc>
      </w:tr>
      <w:tr>
        <w:tc>
          <w:tcPr>
            <w:tcW w:type="dxa" w:w="19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微云台功能</w:t>
            </w:r>
          </w:p>
        </w:tc>
        <w:tc>
          <w:tcPr>
            <w:tcW w:type="dxa" w:w="631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2"/>
              </w:rPr>
              <w:t>▲</w:t>
            </w:r>
            <w:r>
              <w:rPr>
                <w:sz w:val="21"/>
              </w:rPr>
              <w:t>设备具有微云台功能</w:t>
            </w:r>
            <w:r>
              <w:rPr>
                <w:sz w:val="21"/>
              </w:rPr>
              <w:t>,可控制全景通道左右转动；可通过浏览器设置显示/隐藏微云台功能</w:t>
            </w:r>
            <w:r>
              <w:rPr>
                <w:sz w:val="21"/>
              </w:rPr>
              <w:t>。</w:t>
            </w:r>
          </w:p>
          <w:p>
            <w:pPr>
              <w:pStyle w:val="null3"/>
              <w:jc w:val="both"/>
            </w:pPr>
            <w:r>
              <w:rPr>
                <w:sz w:val="21"/>
              </w:rPr>
              <w:t>（提供报告首页具有</w:t>
            </w:r>
            <w:r>
              <w:rPr>
                <w:sz w:val="21"/>
              </w:rPr>
              <w:t>CNAS和CMA 标识的第三方检测报告复印件，并加盖厂商投标专用章或公章</w:t>
            </w:r>
            <w:r>
              <w:rPr>
                <w:sz w:val="21"/>
              </w:rPr>
              <w:t>，注明</w:t>
            </w:r>
            <w:r>
              <w:rPr>
                <w:sz w:val="21"/>
              </w:rPr>
              <w:t>采购</w:t>
            </w:r>
            <w:r>
              <w:rPr>
                <w:sz w:val="21"/>
              </w:rPr>
              <w:t>项目名称的水印</w:t>
            </w:r>
            <w:r>
              <w:rPr>
                <w:sz w:val="21"/>
              </w:rPr>
              <w:t>）</w:t>
            </w:r>
          </w:p>
        </w:tc>
      </w:tr>
      <w:tr>
        <w:tc>
          <w:tcPr>
            <w:tcW w:type="dxa" w:w="19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周界防范</w:t>
            </w:r>
          </w:p>
        </w:tc>
        <w:tc>
          <w:tcPr>
            <w:tcW w:type="dxa" w:w="631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绊线入侵；区域入侵；停车检测</w:t>
            </w:r>
            <w:r>
              <w:rPr>
                <w:sz w:val="21"/>
              </w:rPr>
              <w:t>绊线入侵；区域入侵；停车检测；穿越围栏；快速移动；物品遗留；物品搬移；人员聚集；徘徊检测</w:t>
            </w:r>
            <w:r>
              <w:rPr>
                <w:sz w:val="21"/>
              </w:rPr>
              <w:t>。</w:t>
            </w:r>
          </w:p>
        </w:tc>
      </w:tr>
      <w:tr>
        <w:tc>
          <w:tcPr>
            <w:tcW w:type="dxa" w:w="19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车辆密度</w:t>
            </w:r>
          </w:p>
        </w:tc>
        <w:tc>
          <w:tcPr>
            <w:tcW w:type="dxa" w:w="631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支持道路拥堵，停车上限和车辆拥堵报警功能</w:t>
            </w:r>
            <w:r>
              <w:rPr>
                <w:sz w:val="21"/>
              </w:rPr>
              <w:t>。</w:t>
            </w:r>
          </w:p>
        </w:tc>
      </w:tr>
      <w:tr>
        <w:tc>
          <w:tcPr>
            <w:tcW w:type="dxa" w:w="19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人群分布图</w:t>
            </w:r>
          </w:p>
        </w:tc>
        <w:tc>
          <w:tcPr>
            <w:tcW w:type="dxa" w:w="631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人群分布效果图、全局人数统计、区域人数统计</w:t>
            </w:r>
            <w:r>
              <w:rPr>
                <w:sz w:val="21"/>
              </w:rPr>
              <w:t>。</w:t>
            </w:r>
          </w:p>
        </w:tc>
      </w:tr>
      <w:tr>
        <w:tc>
          <w:tcPr>
            <w:tcW w:type="dxa" w:w="19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视频结构化</w:t>
            </w:r>
          </w:p>
        </w:tc>
        <w:tc>
          <w:tcPr>
            <w:tcW w:type="dxa" w:w="631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支持机动车、非机动车、人脸、人体检测；支持优选；支持抓拍；支持上报最优的抓图机动车属性、非机动车属性、人体属性、人脸属性</w:t>
            </w:r>
            <w:r>
              <w:rPr>
                <w:sz w:val="21"/>
              </w:rPr>
              <w:t>。</w:t>
            </w:r>
          </w:p>
        </w:tc>
      </w:tr>
      <w:tr>
        <w:tc>
          <w:tcPr>
            <w:tcW w:type="dxa" w:w="19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倾斜检测功能</w:t>
            </w:r>
          </w:p>
        </w:tc>
        <w:tc>
          <w:tcPr>
            <w:tcW w:type="dxa" w:w="631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w:t>
            </w:r>
            <w:r>
              <w:rPr>
                <w:sz w:val="21"/>
              </w:rPr>
              <w:t>自带水平仪可检测设备安装是否倾斜</w:t>
            </w:r>
            <w:r>
              <w:rPr>
                <w:sz w:val="21"/>
              </w:rPr>
              <w:t>。</w:t>
            </w:r>
          </w:p>
          <w:p>
            <w:pPr>
              <w:pStyle w:val="null3"/>
              <w:jc w:val="both"/>
            </w:pPr>
            <w:r>
              <w:rPr>
                <w:sz w:val="21"/>
              </w:rPr>
              <w:t>（提供报告首页具有</w:t>
            </w:r>
            <w:r>
              <w:rPr>
                <w:sz w:val="21"/>
              </w:rPr>
              <w:t>CNAS和CMA 标识的第三方检测报告复印件，并加盖厂商投标专用章或公章</w:t>
            </w:r>
            <w:r>
              <w:rPr>
                <w:sz w:val="21"/>
              </w:rPr>
              <w:t>，注明</w:t>
            </w:r>
            <w:r>
              <w:rPr>
                <w:sz w:val="21"/>
              </w:rPr>
              <w:t>采购</w:t>
            </w:r>
            <w:r>
              <w:rPr>
                <w:sz w:val="21"/>
              </w:rPr>
              <w:t>项目名称的水印</w:t>
            </w:r>
            <w:r>
              <w:rPr>
                <w:sz w:val="21"/>
              </w:rPr>
              <w:t>）</w:t>
            </w:r>
          </w:p>
        </w:tc>
      </w:tr>
      <w:tr>
        <w:tc>
          <w:tcPr>
            <w:tcW w:type="dxa" w:w="19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视频压缩标准</w:t>
            </w:r>
          </w:p>
        </w:tc>
        <w:tc>
          <w:tcPr>
            <w:tcW w:type="dxa" w:w="631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H.265；H.264；MJPEG</w:t>
            </w:r>
            <w:r>
              <w:rPr>
                <w:sz w:val="21"/>
              </w:rPr>
              <w:t>。</w:t>
            </w:r>
          </w:p>
        </w:tc>
      </w:tr>
      <w:tr>
        <w:tc>
          <w:tcPr>
            <w:tcW w:type="dxa" w:w="19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网络接口</w:t>
            </w:r>
          </w:p>
        </w:tc>
        <w:tc>
          <w:tcPr>
            <w:tcW w:type="dxa" w:w="631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w:t>
            </w:r>
            <w:r>
              <w:rPr>
                <w:sz w:val="21"/>
              </w:rPr>
              <w:t>1个RJ-45网口，支持10M/100M/1000M 网络数据</w:t>
            </w:r>
            <w:r>
              <w:rPr>
                <w:sz w:val="21"/>
              </w:rPr>
              <w:t>。</w:t>
            </w:r>
          </w:p>
        </w:tc>
      </w:tr>
      <w:tr>
        <w:tc>
          <w:tcPr>
            <w:tcW w:type="dxa" w:w="19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接入标准</w:t>
            </w:r>
          </w:p>
        </w:tc>
        <w:tc>
          <w:tcPr>
            <w:tcW w:type="dxa" w:w="631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ONVIF；GB/T</w:t>
            </w:r>
            <w:r>
              <w:rPr>
                <w:sz w:val="21"/>
              </w:rPr>
              <w:t xml:space="preserve"> </w:t>
            </w:r>
            <w:r>
              <w:rPr>
                <w:sz w:val="21"/>
              </w:rPr>
              <w:t>28181；GB</w:t>
            </w:r>
            <w:r>
              <w:rPr>
                <w:sz w:val="21"/>
              </w:rPr>
              <w:t xml:space="preserve"> </w:t>
            </w:r>
            <w:r>
              <w:rPr>
                <w:sz w:val="21"/>
              </w:rPr>
              <w:t>35114 A级</w:t>
            </w:r>
            <w:r>
              <w:rPr>
                <w:sz w:val="21"/>
              </w:rPr>
              <w:t>或以上</w:t>
            </w:r>
            <w:r>
              <w:rPr>
                <w:sz w:val="21"/>
              </w:rPr>
              <w:t>。</w:t>
            </w:r>
          </w:p>
        </w:tc>
      </w:tr>
      <w:tr>
        <w:tc>
          <w:tcPr>
            <w:tcW w:type="dxa" w:w="19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AR功能</w:t>
            </w:r>
          </w:p>
        </w:tc>
        <w:tc>
          <w:tcPr>
            <w:tcW w:type="dxa" w:w="631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支持</w:t>
            </w:r>
            <w:r>
              <w:rPr>
                <w:sz w:val="21"/>
              </w:rPr>
              <w:t>。</w:t>
            </w:r>
          </w:p>
        </w:tc>
      </w:tr>
      <w:tr>
        <w:tc>
          <w:tcPr>
            <w:tcW w:type="dxa" w:w="19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RS-485接口</w:t>
            </w:r>
          </w:p>
        </w:tc>
        <w:tc>
          <w:tcPr>
            <w:tcW w:type="dxa" w:w="631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≥1个</w:t>
            </w:r>
            <w:r>
              <w:rPr>
                <w:sz w:val="21"/>
              </w:rPr>
              <w:t>。</w:t>
            </w:r>
          </w:p>
        </w:tc>
      </w:tr>
      <w:tr>
        <w:tc>
          <w:tcPr>
            <w:tcW w:type="dxa" w:w="19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光纤接口</w:t>
            </w:r>
          </w:p>
        </w:tc>
        <w:tc>
          <w:tcPr>
            <w:tcW w:type="dxa" w:w="631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FC</w:t>
            </w:r>
            <w:r>
              <w:rPr>
                <w:sz w:val="21"/>
              </w:rPr>
              <w:t>。</w:t>
            </w:r>
          </w:p>
        </w:tc>
      </w:tr>
      <w:tr>
        <w:tc>
          <w:tcPr>
            <w:tcW w:type="dxa" w:w="19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音频输入</w:t>
            </w:r>
          </w:p>
        </w:tc>
        <w:tc>
          <w:tcPr>
            <w:tcW w:type="dxa" w:w="631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≥2路</w:t>
            </w:r>
            <w:r>
              <w:rPr>
                <w:sz w:val="21"/>
              </w:rPr>
              <w:t>。</w:t>
            </w:r>
          </w:p>
        </w:tc>
      </w:tr>
      <w:tr>
        <w:tc>
          <w:tcPr>
            <w:tcW w:type="dxa" w:w="19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音频输出</w:t>
            </w:r>
          </w:p>
        </w:tc>
        <w:tc>
          <w:tcPr>
            <w:tcW w:type="dxa" w:w="631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≥2路</w:t>
            </w:r>
            <w:r>
              <w:rPr>
                <w:sz w:val="21"/>
              </w:rPr>
              <w:t>。</w:t>
            </w:r>
          </w:p>
        </w:tc>
      </w:tr>
      <w:tr>
        <w:tc>
          <w:tcPr>
            <w:tcW w:type="dxa" w:w="19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报警输入</w:t>
            </w:r>
          </w:p>
        </w:tc>
        <w:tc>
          <w:tcPr>
            <w:tcW w:type="dxa" w:w="631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≥7路</w:t>
            </w:r>
            <w:r>
              <w:rPr>
                <w:sz w:val="21"/>
              </w:rPr>
              <w:t>。</w:t>
            </w:r>
          </w:p>
        </w:tc>
      </w:tr>
      <w:tr>
        <w:tc>
          <w:tcPr>
            <w:tcW w:type="dxa" w:w="19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报警输出</w:t>
            </w:r>
          </w:p>
        </w:tc>
        <w:tc>
          <w:tcPr>
            <w:tcW w:type="dxa" w:w="631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≥3路</w:t>
            </w:r>
            <w:r>
              <w:rPr>
                <w:sz w:val="21"/>
              </w:rPr>
              <w:t>。</w:t>
            </w:r>
          </w:p>
        </w:tc>
      </w:tr>
      <w:tr>
        <w:tc>
          <w:tcPr>
            <w:tcW w:type="dxa" w:w="19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定位功能</w:t>
            </w:r>
          </w:p>
        </w:tc>
        <w:tc>
          <w:tcPr>
            <w:tcW w:type="dxa" w:w="631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内置定位校时模块，可输出经纬度信息</w:t>
            </w:r>
            <w:r>
              <w:rPr>
                <w:sz w:val="21"/>
              </w:rPr>
              <w:t>。</w:t>
            </w:r>
          </w:p>
        </w:tc>
      </w:tr>
      <w:tr>
        <w:tc>
          <w:tcPr>
            <w:tcW w:type="dxa" w:w="19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防护等级</w:t>
            </w:r>
          </w:p>
        </w:tc>
        <w:tc>
          <w:tcPr>
            <w:tcW w:type="dxa" w:w="631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≥IP66</w:t>
            </w:r>
            <w:r>
              <w:rPr>
                <w:sz w:val="21"/>
              </w:rPr>
              <w:t>。</w:t>
            </w:r>
          </w:p>
        </w:tc>
      </w:tr>
    </w:tbl>
    <w:p>
      <w:pPr>
        <w:pStyle w:val="null3"/>
        <w:ind w:firstLine="420"/>
      </w:pPr>
      <w:r>
        <w:rPr>
          <w:sz w:val="21"/>
        </w:rPr>
        <w:t>6.智能监控箱</w:t>
      </w:r>
    </w:p>
    <w:tbl>
      <w:tblPr>
        <w:tblW w:w="0" w:type="auto"/>
        <w:tblBorders>
          <w:top w:val="none" w:color="000000" w:sz="4"/>
          <w:left w:val="none" w:color="000000" w:sz="4"/>
          <w:bottom w:val="none" w:color="000000" w:sz="4"/>
          <w:right w:val="none" w:color="000000" w:sz="4"/>
          <w:insideH w:val="none"/>
          <w:insideV w:val="none"/>
        </w:tblBorders>
      </w:tblPr>
      <w:tblGrid>
        <w:gridCol w:w="1971"/>
        <w:gridCol w:w="6331"/>
      </w:tblGrid>
      <w:tr>
        <w:tc>
          <w:tcPr>
            <w:tcW w:type="dxa" w:w="1971"/>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参数项</w:t>
            </w:r>
          </w:p>
        </w:tc>
        <w:tc>
          <w:tcPr>
            <w:tcW w:type="dxa" w:w="6331"/>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技术规格要求</w:t>
            </w:r>
          </w:p>
        </w:tc>
      </w:tr>
      <w:tr>
        <w:tc>
          <w:tcPr>
            <w:tcW w:type="dxa" w:w="1971"/>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材料要求</w:t>
            </w:r>
          </w:p>
        </w:tc>
        <w:tc>
          <w:tcPr>
            <w:tcW w:type="dxa" w:w="633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监控箱所有结构件采用高强度镀锌板，箱体及门板材料厚度</w:t>
            </w:r>
            <w:r>
              <w:rPr>
                <w:sz w:val="21"/>
              </w:rPr>
              <w:t>≥1.5mm，抱箍（或壁挂套件）材料厚度≥2.0mm，其它材料厚度不少于1.2mm。</w:t>
            </w:r>
          </w:p>
        </w:tc>
      </w:tr>
      <w:tr>
        <w:tc>
          <w:tcPr>
            <w:tcW w:type="dxa" w:w="1971"/>
            <w:vMerge/>
            <w:tcBorders>
              <w:top w:val="none" w:color="000000" w:sz="4"/>
              <w:left w:val="single" w:color="000000" w:sz="4"/>
              <w:bottom w:val="single" w:color="000000" w:sz="4"/>
              <w:right w:val="single" w:color="000000" w:sz="4"/>
            </w:tcBorders>
          </w:tcPr>
          <w:p/>
        </w:tc>
        <w:tc>
          <w:tcPr>
            <w:tcW w:type="dxa" w:w="633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独立末级接地系统采用纯紫铜材料制作，截面积不少于</w:t>
            </w:r>
            <w:r>
              <w:rPr>
                <w:sz w:val="21"/>
              </w:rPr>
              <w:t>50mm</w:t>
            </w:r>
            <w:r>
              <w:rPr>
                <w:sz w:val="21"/>
              </w:rPr>
              <w:t>²</w:t>
            </w:r>
            <w:r>
              <w:rPr>
                <w:sz w:val="21"/>
              </w:rPr>
              <w:t>。</w:t>
            </w:r>
          </w:p>
        </w:tc>
      </w:tr>
      <w:tr>
        <w:tc>
          <w:tcPr>
            <w:tcW w:type="dxa" w:w="1971"/>
            <w:vMerge/>
            <w:tcBorders>
              <w:top w:val="none" w:color="000000" w:sz="4"/>
              <w:left w:val="single" w:color="000000" w:sz="4"/>
              <w:bottom w:val="single" w:color="000000" w:sz="4"/>
              <w:right w:val="single" w:color="000000" w:sz="4"/>
            </w:tcBorders>
          </w:tcPr>
          <w:p/>
        </w:tc>
        <w:tc>
          <w:tcPr>
            <w:tcW w:type="dxa" w:w="633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监控箱及其附属部件、涂覆层、标志、饰物等均应采用难燃或不燃材料。</w:t>
            </w:r>
          </w:p>
        </w:tc>
      </w:tr>
      <w:tr>
        <w:tc>
          <w:tcPr>
            <w:tcW w:type="dxa" w:w="1971"/>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表面处理要求</w:t>
            </w:r>
          </w:p>
        </w:tc>
        <w:tc>
          <w:tcPr>
            <w:tcW w:type="dxa" w:w="633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金属件前处理均采用热磷化处理，表面采用环保型防静电涂层，涂料应满足户外使用环境要求。</w:t>
            </w:r>
          </w:p>
        </w:tc>
      </w:tr>
      <w:tr>
        <w:tc>
          <w:tcPr>
            <w:tcW w:type="dxa" w:w="1971"/>
            <w:vMerge/>
            <w:tcBorders>
              <w:top w:val="none" w:color="000000" w:sz="4"/>
              <w:left w:val="single" w:color="000000" w:sz="4"/>
              <w:bottom w:val="single" w:color="000000" w:sz="4"/>
              <w:right w:val="single" w:color="000000" w:sz="4"/>
            </w:tcBorders>
          </w:tcPr>
          <w:p/>
        </w:tc>
        <w:tc>
          <w:tcPr>
            <w:tcW w:type="dxa" w:w="633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表面喷塑厚度达到</w:t>
            </w:r>
            <w:r>
              <w:rPr>
                <w:sz w:val="21"/>
              </w:rPr>
              <w:t>65-90µm，表面喷塑硬度应大于2H。</w:t>
            </w:r>
          </w:p>
        </w:tc>
      </w:tr>
      <w:tr>
        <w:tc>
          <w:tcPr>
            <w:tcW w:type="dxa" w:w="1971"/>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结构要求</w:t>
            </w:r>
          </w:p>
        </w:tc>
        <w:tc>
          <w:tcPr>
            <w:tcW w:type="dxa" w:w="633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箱内尺寸（不含防雨帽）：</w:t>
            </w:r>
            <w:r>
              <w:rPr>
                <w:sz w:val="21"/>
              </w:rPr>
              <w:t>4</w:t>
            </w:r>
            <w:r>
              <w:rPr>
                <w:sz w:val="21"/>
              </w:rPr>
              <w:t>50宽*</w:t>
            </w:r>
            <w:r>
              <w:rPr>
                <w:sz w:val="21"/>
              </w:rPr>
              <w:t>6</w:t>
            </w:r>
            <w:r>
              <w:rPr>
                <w:sz w:val="21"/>
              </w:rPr>
              <w:t>00高*</w:t>
            </w:r>
            <w:r>
              <w:rPr>
                <w:sz w:val="21"/>
              </w:rPr>
              <w:t>3</w:t>
            </w:r>
            <w:r>
              <w:rPr>
                <w:sz w:val="21"/>
              </w:rPr>
              <w:t>50深mm（</w:t>
            </w:r>
            <w:r>
              <w:rPr>
                <w:sz w:val="21"/>
              </w:rPr>
              <w:t>长宽高</w:t>
            </w:r>
            <w:r>
              <w:rPr>
                <w:sz w:val="21"/>
              </w:rPr>
              <w:t>±50mm</w:t>
            </w:r>
            <w:r>
              <w:rPr>
                <w:sz w:val="21"/>
              </w:rPr>
              <w:t>）（</w:t>
            </w:r>
            <w:r>
              <w:rPr>
                <w:sz w:val="21"/>
              </w:rPr>
              <w:t>中型</w:t>
            </w:r>
            <w:r>
              <w:rPr>
                <w:sz w:val="21"/>
              </w:rPr>
              <w:t>）</w:t>
            </w:r>
            <w:r>
              <w:rPr>
                <w:sz w:val="21"/>
              </w:rPr>
              <w:t>.</w:t>
            </w:r>
          </w:p>
        </w:tc>
      </w:tr>
      <w:tr>
        <w:tc>
          <w:tcPr>
            <w:tcW w:type="dxa" w:w="1971"/>
            <w:vMerge/>
            <w:tcBorders>
              <w:top w:val="none" w:color="000000" w:sz="4"/>
              <w:left w:val="single" w:color="000000" w:sz="4"/>
              <w:bottom w:val="single" w:color="000000" w:sz="4"/>
              <w:right w:val="single" w:color="000000" w:sz="4"/>
            </w:tcBorders>
          </w:tcPr>
          <w:p/>
        </w:tc>
        <w:tc>
          <w:tcPr>
            <w:tcW w:type="dxa" w:w="633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隔板承载负荷</w:t>
            </w:r>
            <w:r>
              <w:rPr>
                <w:sz w:val="21"/>
              </w:rPr>
              <w:t>≥15公斤。监控箱总负荷≥50公斤。</w:t>
            </w:r>
          </w:p>
        </w:tc>
      </w:tr>
      <w:tr>
        <w:tc>
          <w:tcPr>
            <w:tcW w:type="dxa" w:w="1971"/>
            <w:vMerge/>
            <w:tcBorders>
              <w:top w:val="none" w:color="000000" w:sz="4"/>
              <w:left w:val="single" w:color="000000" w:sz="4"/>
              <w:bottom w:val="single" w:color="000000" w:sz="4"/>
              <w:right w:val="single" w:color="000000" w:sz="4"/>
            </w:tcBorders>
          </w:tcPr>
          <w:p/>
        </w:tc>
        <w:tc>
          <w:tcPr>
            <w:tcW w:type="dxa" w:w="633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监控箱配置隔板分双层设计，隔板可根据设备安装的需求灵活上、下调节，同时设计散热孔。</w:t>
            </w:r>
          </w:p>
        </w:tc>
      </w:tr>
      <w:tr>
        <w:tc>
          <w:tcPr>
            <w:tcW w:type="dxa" w:w="1971"/>
            <w:vMerge/>
            <w:tcBorders>
              <w:top w:val="none" w:color="000000" w:sz="4"/>
              <w:left w:val="single" w:color="000000" w:sz="4"/>
              <w:bottom w:val="single" w:color="000000" w:sz="4"/>
              <w:right w:val="single" w:color="000000" w:sz="4"/>
            </w:tcBorders>
          </w:tcPr>
          <w:p/>
        </w:tc>
        <w:tc>
          <w:tcPr>
            <w:tcW w:type="dxa" w:w="633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监控箱下进线方式，应匹配立杆合理设计走线孔，孔径应满足走线需求，</w:t>
            </w:r>
            <w:r>
              <w:rPr>
                <w:sz w:val="21"/>
              </w:rPr>
              <w:t>线孔具备防割功能</w:t>
            </w:r>
            <w:r>
              <w:rPr>
                <w:sz w:val="21"/>
              </w:rPr>
              <w:t>。</w:t>
            </w:r>
          </w:p>
        </w:tc>
      </w:tr>
      <w:tr>
        <w:tc>
          <w:tcPr>
            <w:tcW w:type="dxa" w:w="1971"/>
            <w:vMerge/>
            <w:tcBorders>
              <w:top w:val="none" w:color="000000" w:sz="4"/>
              <w:left w:val="single" w:color="000000" w:sz="4"/>
              <w:bottom w:val="single" w:color="000000" w:sz="4"/>
              <w:right w:val="single" w:color="000000" w:sz="4"/>
            </w:tcBorders>
          </w:tcPr>
          <w:p/>
        </w:tc>
        <w:tc>
          <w:tcPr>
            <w:tcW w:type="dxa" w:w="633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门锁要求：锁具的抗破坏性能应符合</w:t>
            </w:r>
            <w:r>
              <w:rPr>
                <w:sz w:val="21"/>
              </w:rPr>
              <w:t>GA/T</w:t>
            </w:r>
            <w:r>
              <w:rPr>
                <w:sz w:val="21"/>
              </w:rPr>
              <w:t xml:space="preserve"> </w:t>
            </w:r>
            <w:r>
              <w:rPr>
                <w:sz w:val="21"/>
              </w:rPr>
              <w:t>73中的B级</w:t>
            </w:r>
            <w:r>
              <w:rPr>
                <w:sz w:val="21"/>
              </w:rPr>
              <w:t>或以上</w:t>
            </w:r>
            <w:r>
              <w:rPr>
                <w:sz w:val="21"/>
              </w:rPr>
              <w:t>要求。</w:t>
            </w:r>
          </w:p>
        </w:tc>
      </w:tr>
      <w:tr>
        <w:tc>
          <w:tcPr>
            <w:tcW w:type="dxa" w:w="1971"/>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散热要求</w:t>
            </w:r>
          </w:p>
        </w:tc>
        <w:tc>
          <w:tcPr>
            <w:tcW w:type="dxa" w:w="633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原则上采用自然散热方式，箱体两侧设计散热窗，内侧安装免工具拆卸防尘网，要求为可清洗反复使用环保型材料。</w:t>
            </w:r>
          </w:p>
        </w:tc>
      </w:tr>
      <w:tr>
        <w:tc>
          <w:tcPr>
            <w:tcW w:type="dxa" w:w="1971"/>
            <w:vMerge/>
            <w:tcBorders>
              <w:top w:val="none" w:color="000000" w:sz="4"/>
              <w:left w:val="single" w:color="000000" w:sz="4"/>
              <w:bottom w:val="single" w:color="000000" w:sz="4"/>
              <w:right w:val="single" w:color="000000" w:sz="4"/>
            </w:tcBorders>
          </w:tcPr>
          <w:p/>
        </w:tc>
        <w:tc>
          <w:tcPr>
            <w:tcW w:type="dxa" w:w="633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预设强排散热风扇，</w:t>
            </w:r>
            <w:r>
              <w:rPr>
                <w:sz w:val="21"/>
              </w:rPr>
              <w:t>AC220V或DC12V供电，智能温度感应系统控制工作模式。箱体内温度：夏季≤45℃，冬季≤27℃</w:t>
            </w:r>
            <w:r>
              <w:rPr>
                <w:sz w:val="21"/>
              </w:rPr>
              <w:t>。</w:t>
            </w:r>
          </w:p>
        </w:tc>
      </w:tr>
      <w:tr>
        <w:tc>
          <w:tcPr>
            <w:tcW w:type="dxa" w:w="197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附属配置</w:t>
            </w:r>
          </w:p>
        </w:tc>
        <w:tc>
          <w:tcPr>
            <w:tcW w:type="dxa" w:w="633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抱箍组件</w:t>
            </w:r>
            <w:r>
              <w:rPr>
                <w:sz w:val="21"/>
              </w:rPr>
              <w:t>≥1套或壁挂组件≥1套</w:t>
            </w:r>
            <w:r>
              <w:rPr>
                <w:sz w:val="21"/>
              </w:rPr>
              <w:t>。</w:t>
            </w:r>
          </w:p>
        </w:tc>
      </w:tr>
      <w:tr>
        <w:tc>
          <w:tcPr>
            <w:tcW w:type="dxa" w:w="197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电源空开及防雷保护</w:t>
            </w:r>
          </w:p>
        </w:tc>
        <w:tc>
          <w:tcPr>
            <w:tcW w:type="dxa" w:w="633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配</w:t>
            </w:r>
            <w:r>
              <w:rPr>
                <w:sz w:val="21"/>
              </w:rPr>
              <w:t>≥1个2P32A空开。</w:t>
            </w:r>
          </w:p>
          <w:p>
            <w:pPr>
              <w:pStyle w:val="null3"/>
              <w:jc w:val="both"/>
            </w:pPr>
            <w:r>
              <w:rPr>
                <w:sz w:val="21"/>
              </w:rPr>
              <w:t>配</w:t>
            </w:r>
            <w:r>
              <w:rPr>
                <w:sz w:val="21"/>
              </w:rPr>
              <w:t>≥1个电源防雷器，电源防雷通流容量参数标称20KA最大40KA</w:t>
            </w:r>
            <w:r>
              <w:rPr>
                <w:sz w:val="21"/>
              </w:rPr>
              <w:t>。</w:t>
            </w:r>
          </w:p>
        </w:tc>
      </w:tr>
      <w:tr>
        <w:tc>
          <w:tcPr>
            <w:tcW w:type="dxa" w:w="197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机箱智能运维终端</w:t>
            </w:r>
          </w:p>
        </w:tc>
        <w:tc>
          <w:tcPr>
            <w:tcW w:type="dxa" w:w="633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电源防雷器、</w:t>
            </w:r>
            <w:r>
              <w:rPr>
                <w:sz w:val="21"/>
              </w:rPr>
              <w:t>自动重合闸、</w:t>
            </w:r>
            <w:r>
              <w:rPr>
                <w:sz w:val="21"/>
              </w:rPr>
              <w:t>机箱智能运维终端、配电单元、光纤盘、熔纤盒、风扇，箱内单元采用导轨式安装、接线方便，每个单元均可独立更换。</w:t>
            </w:r>
          </w:p>
          <w:p>
            <w:pPr>
              <w:pStyle w:val="null3"/>
              <w:jc w:val="both"/>
            </w:pPr>
            <w:r>
              <w:rPr>
                <w:sz w:val="21"/>
              </w:rPr>
              <w:t>提供</w:t>
            </w:r>
            <w:r>
              <w:rPr>
                <w:sz w:val="21"/>
              </w:rPr>
              <w:t>≥</w:t>
            </w:r>
            <w:r>
              <w:rPr>
                <w:sz w:val="21"/>
              </w:rPr>
              <w:t>5</w:t>
            </w:r>
            <w:r>
              <w:rPr>
                <w:sz w:val="21"/>
              </w:rPr>
              <w:t>路交流</w:t>
            </w:r>
            <w:r>
              <w:rPr>
                <w:sz w:val="21"/>
              </w:rPr>
              <w:t>220V远程可控输出（</w:t>
            </w:r>
            <w:r>
              <w:rPr>
                <w:sz w:val="21"/>
              </w:rPr>
              <w:t>带独立空开模块</w:t>
            </w:r>
            <w:r>
              <w:rPr>
                <w:sz w:val="21"/>
              </w:rPr>
              <w:t>），</w:t>
            </w:r>
            <w:r>
              <w:rPr>
                <w:sz w:val="21"/>
              </w:rPr>
              <w:t>≥3路DC12V远程可控输出，≥2路干节点输入，≥1路RS232通信接口，≥1路RS485</w:t>
            </w:r>
            <w:r>
              <w:rPr>
                <w:sz w:val="21"/>
              </w:rPr>
              <w:t>或</w:t>
            </w:r>
            <w:r>
              <w:rPr>
                <w:sz w:val="21"/>
              </w:rPr>
              <w:t>RJ45</w:t>
            </w:r>
            <w:r>
              <w:rPr>
                <w:sz w:val="21"/>
              </w:rPr>
              <w:t>通信接口，支持防雷失效检测功能。</w:t>
            </w:r>
          </w:p>
          <w:p>
            <w:pPr>
              <w:pStyle w:val="null3"/>
              <w:jc w:val="both"/>
            </w:pPr>
            <w:r>
              <w:rPr>
                <w:sz w:val="21"/>
              </w:rPr>
              <w:t>支持供电电压、电流、功率检测，可通过客户端显示；当供电断开时，在客户端上提示供电异常告警。</w:t>
            </w:r>
          </w:p>
          <w:p>
            <w:pPr>
              <w:pStyle w:val="null3"/>
              <w:jc w:val="both"/>
            </w:pPr>
            <w:r>
              <w:rPr>
                <w:sz w:val="21"/>
              </w:rPr>
              <w:t>交流输出接口具有远程控制功能，可远程设定工作模式。</w:t>
            </w:r>
          </w:p>
          <w:p>
            <w:pPr>
              <w:pStyle w:val="null3"/>
              <w:jc w:val="both"/>
            </w:pPr>
            <w:r>
              <w:rPr>
                <w:sz w:val="21"/>
              </w:rPr>
              <w:t>支持供电电压、电流、功率检测，可通过客户端显示；当供电断开时，在客户端上提示供电异常告警。</w:t>
            </w:r>
          </w:p>
          <w:p>
            <w:pPr>
              <w:pStyle w:val="null3"/>
              <w:jc w:val="both"/>
            </w:pPr>
            <w:r>
              <w:rPr>
                <w:sz w:val="21"/>
              </w:rPr>
              <w:t>网络检测：支持设置准许接入设备的</w:t>
            </w:r>
            <w:r>
              <w:rPr>
                <w:sz w:val="21"/>
              </w:rPr>
              <w:t>IP地址和MAC地址白名单，当IP地址或MAC地址不匹配时，则无法接入网络</w:t>
            </w:r>
            <w:r>
              <w:rPr>
                <w:sz w:val="21"/>
              </w:rPr>
              <w:t>。</w:t>
            </w:r>
          </w:p>
          <w:p>
            <w:pPr>
              <w:pStyle w:val="null3"/>
              <w:jc w:val="both"/>
            </w:pPr>
            <w:r>
              <w:rPr>
                <w:sz w:val="21"/>
              </w:rPr>
              <w:t>支持温湿度检测、开关控制功能、柜门状态检测、自动布防和临时撤防。</w:t>
            </w:r>
          </w:p>
          <w:p>
            <w:pPr>
              <w:pStyle w:val="null3"/>
              <w:jc w:val="both"/>
            </w:pPr>
            <w:r>
              <w:rPr>
                <w:sz w:val="21"/>
              </w:rPr>
              <w:t>支持客户端远程配置心跳保活周期，心跳保活消息定期上报</w:t>
            </w:r>
          </w:p>
          <w:p>
            <w:pPr>
              <w:pStyle w:val="null3"/>
              <w:jc w:val="both"/>
            </w:pPr>
            <w:r>
              <w:rPr>
                <w:sz w:val="21"/>
              </w:rPr>
              <w:t>应具有定位功能，支持自动获取经纬度，更新位置变化信息；</w:t>
            </w:r>
          </w:p>
          <w:p>
            <w:pPr>
              <w:pStyle w:val="null3"/>
              <w:jc w:val="both"/>
            </w:pPr>
            <w:r>
              <w:rPr>
                <w:sz w:val="21"/>
              </w:rPr>
              <w:t>智能一体化设备状态信息及故障告警信息按市局接口接入市局视频智能运维管理系统或统一运维平台。</w:t>
            </w:r>
          </w:p>
        </w:tc>
      </w:tr>
      <w:tr>
        <w:tc>
          <w:tcPr>
            <w:tcW w:type="dxa" w:w="197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通信单元</w:t>
            </w:r>
          </w:p>
        </w:tc>
        <w:tc>
          <w:tcPr>
            <w:tcW w:type="dxa" w:w="633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数据传输模式支持有线模式；支持不同端口、不同服务</w:t>
            </w:r>
            <w:r>
              <w:rPr>
                <w:sz w:val="21"/>
              </w:rPr>
              <w:t>IP传输</w:t>
            </w:r>
            <w:r>
              <w:rPr>
                <w:sz w:val="21"/>
              </w:rPr>
              <w:t>。</w:t>
            </w:r>
          </w:p>
        </w:tc>
      </w:tr>
      <w:tr>
        <w:tc>
          <w:tcPr>
            <w:tcW w:type="dxa" w:w="197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告警单元</w:t>
            </w:r>
          </w:p>
        </w:tc>
        <w:tc>
          <w:tcPr>
            <w:tcW w:type="dxa" w:w="633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当受到震动时，客户端提示震动告警。</w:t>
            </w:r>
          </w:p>
          <w:p>
            <w:pPr>
              <w:pStyle w:val="null3"/>
              <w:jc w:val="both"/>
            </w:pPr>
            <w:r>
              <w:rPr>
                <w:sz w:val="21"/>
              </w:rPr>
              <w:t>当受到倾斜时，客户端提示倾斜告警，并显示倾斜角度。</w:t>
            </w:r>
          </w:p>
          <w:p>
            <w:pPr>
              <w:pStyle w:val="null3"/>
              <w:jc w:val="both"/>
            </w:pPr>
            <w:r>
              <w:rPr>
                <w:sz w:val="21"/>
              </w:rPr>
              <w:t>支持外接箱门门磁检测传感器，能够在箱门异常开启时产生告警，防止恶意破坏箱体行为，保障箱体内资产和信息安全</w:t>
            </w:r>
            <w:r>
              <w:rPr>
                <w:sz w:val="21"/>
              </w:rPr>
              <w:t>。</w:t>
            </w:r>
          </w:p>
          <w:p>
            <w:pPr>
              <w:pStyle w:val="null3"/>
              <w:jc w:val="both"/>
            </w:pPr>
            <w:r>
              <w:rPr>
                <w:sz w:val="21"/>
              </w:rPr>
              <w:t>支持光感监测功能，可在平台端区分机箱内暗光、弱光、强光三种光线环境，辅助判断箱门是否开启。</w:t>
            </w:r>
          </w:p>
        </w:tc>
      </w:tr>
      <w:tr>
        <w:tc>
          <w:tcPr>
            <w:tcW w:type="dxa" w:w="197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工业级交换单元</w:t>
            </w:r>
          </w:p>
        </w:tc>
        <w:tc>
          <w:tcPr>
            <w:tcW w:type="dxa" w:w="633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内置工业级交换单元，支持</w:t>
            </w:r>
            <w:r>
              <w:rPr>
                <w:sz w:val="21"/>
              </w:rPr>
              <w:t>≥8路10M/100M/1000M电口，≥2路SFP光口</w:t>
            </w:r>
            <w:r>
              <w:rPr>
                <w:sz w:val="21"/>
              </w:rPr>
              <w:t>。</w:t>
            </w:r>
          </w:p>
        </w:tc>
      </w:tr>
      <w:tr>
        <w:tc>
          <w:tcPr>
            <w:tcW w:type="dxa" w:w="197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配套件</w:t>
            </w:r>
          </w:p>
        </w:tc>
        <w:tc>
          <w:tcPr>
            <w:tcW w:type="dxa" w:w="633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含机箱安装抱箍支架等配套件</w:t>
            </w:r>
            <w:r>
              <w:rPr>
                <w:sz w:val="21"/>
              </w:rPr>
              <w:t>。</w:t>
            </w:r>
          </w:p>
        </w:tc>
      </w:tr>
      <w:tr>
        <w:tc>
          <w:tcPr>
            <w:tcW w:type="dxa" w:w="197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防护等级</w:t>
            </w:r>
          </w:p>
        </w:tc>
        <w:tc>
          <w:tcPr>
            <w:tcW w:type="dxa" w:w="633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≥IP</w:t>
            </w:r>
            <w:r>
              <w:rPr>
                <w:sz w:val="21"/>
              </w:rPr>
              <w:t>55</w:t>
            </w:r>
            <w:r>
              <w:rPr>
                <w:sz w:val="21"/>
              </w:rPr>
              <w:t>。</w:t>
            </w:r>
          </w:p>
        </w:tc>
      </w:tr>
    </w:tbl>
    <w:p>
      <w:pPr>
        <w:pStyle w:val="null3"/>
        <w:ind w:firstLine="420"/>
      </w:pPr>
      <w:r>
        <w:rPr>
          <w:sz w:val="21"/>
        </w:rPr>
        <w:t>7.智能网络硬盘录像机（DVR硬盘录像机32路）</w:t>
      </w:r>
    </w:p>
    <w:tbl>
      <w:tblPr>
        <w:tblW w:w="0" w:type="auto"/>
        <w:tblBorders>
          <w:top w:val="none" w:color="000000" w:sz="4"/>
          <w:left w:val="none" w:color="000000" w:sz="4"/>
          <w:bottom w:val="none" w:color="000000" w:sz="4"/>
          <w:right w:val="none" w:color="000000" w:sz="4"/>
          <w:insideH w:val="none"/>
          <w:insideV w:val="none"/>
        </w:tblBorders>
      </w:tblPr>
      <w:tblGrid>
        <w:gridCol w:w="1976"/>
        <w:gridCol w:w="6326"/>
      </w:tblGrid>
      <w:tr>
        <w:tc>
          <w:tcPr>
            <w:tcW w:type="dxa" w:w="1976"/>
            <w:tcBorders>
              <w:top w:val="singl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参数项</w:t>
            </w:r>
          </w:p>
        </w:tc>
        <w:tc>
          <w:tcPr>
            <w:tcW w:type="dxa" w:w="6326"/>
            <w:tcBorders>
              <w:top w:val="singl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技术规格要求</w:t>
            </w:r>
          </w:p>
        </w:tc>
      </w:tr>
      <w:tr>
        <w:tc>
          <w:tcPr>
            <w:tcW w:type="dxa" w:w="197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控制器</w:t>
            </w:r>
          </w:p>
        </w:tc>
        <w:tc>
          <w:tcPr>
            <w:tcW w:type="dxa" w:w="632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设备采用工业级微控制器，嵌入式</w:t>
            </w:r>
            <w:r>
              <w:rPr>
                <w:sz w:val="21"/>
              </w:rPr>
              <w:t>LINUX构架设计</w:t>
            </w:r>
            <w:r>
              <w:rPr>
                <w:sz w:val="21"/>
              </w:rPr>
              <w:t>。</w:t>
            </w:r>
          </w:p>
        </w:tc>
      </w:tr>
      <w:tr>
        <w:tc>
          <w:tcPr>
            <w:tcW w:type="dxa" w:w="197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接入路数</w:t>
            </w:r>
          </w:p>
        </w:tc>
        <w:tc>
          <w:tcPr>
            <w:tcW w:type="dxa" w:w="632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输入路数</w:t>
            </w:r>
            <w:r>
              <w:rPr>
                <w:sz w:val="21"/>
              </w:rPr>
              <w:t>≥128路,接入码流≥512Mbps</w:t>
            </w:r>
            <w:r>
              <w:rPr>
                <w:sz w:val="21"/>
              </w:rPr>
              <w:t>。</w:t>
            </w:r>
          </w:p>
        </w:tc>
      </w:tr>
      <w:tr>
        <w:tc>
          <w:tcPr>
            <w:tcW w:type="dxa" w:w="197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多面画显示能力</w:t>
            </w:r>
          </w:p>
        </w:tc>
        <w:tc>
          <w:tcPr>
            <w:tcW w:type="dxa" w:w="632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可将接入</w:t>
            </w:r>
            <w:r>
              <w:rPr>
                <w:sz w:val="21"/>
              </w:rPr>
              <w:t>720P、1.3MP、1080P3MP、4MP、5MP、6MP、8MP、12MP、16MP、24MP、32MP、双目、三目、四目拼接、四目不拼接、一球四枪相机、一球六枪相机、一球八枪相机摄像机的图像以多画面分割方式显示并进行调整。</w:t>
            </w:r>
          </w:p>
        </w:tc>
      </w:tr>
      <w:tr>
        <w:tc>
          <w:tcPr>
            <w:tcW w:type="dxa" w:w="197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智能应用</w:t>
            </w:r>
          </w:p>
        </w:tc>
        <w:tc>
          <w:tcPr>
            <w:tcW w:type="dxa" w:w="632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支持智能动检、周界防范、人脸识别和视频结构化等智能应用</w:t>
            </w:r>
            <w:r>
              <w:rPr>
                <w:sz w:val="21"/>
              </w:rPr>
              <w:t>；</w:t>
            </w:r>
            <w:r>
              <w:rPr>
                <w:sz w:val="21"/>
              </w:rPr>
              <w:t>支持文搜功能；支持文本布控功能</w:t>
            </w:r>
            <w:r>
              <w:rPr>
                <w:sz w:val="21"/>
              </w:rPr>
              <w:t>。</w:t>
            </w:r>
          </w:p>
        </w:tc>
      </w:tr>
      <w:tr>
        <w:tc>
          <w:tcPr>
            <w:tcW w:type="dxa" w:w="197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拼接摄像机显示功能</w:t>
            </w:r>
          </w:p>
        </w:tc>
        <w:tc>
          <w:tcPr>
            <w:tcW w:type="dxa" w:w="632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支持</w:t>
            </w:r>
            <w:r>
              <w:rPr>
                <w:sz w:val="21"/>
              </w:rPr>
              <w:t>≥2路H.265编码、25fps、8192 X 3840MP分辨率的拼接摄像机视频实时预览功能</w:t>
            </w:r>
            <w:r>
              <w:rPr>
                <w:sz w:val="21"/>
              </w:rPr>
              <w:t>。</w:t>
            </w:r>
          </w:p>
        </w:tc>
      </w:tr>
      <w:tr>
        <w:tc>
          <w:tcPr>
            <w:tcW w:type="dxa" w:w="197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硬盘</w:t>
            </w:r>
          </w:p>
        </w:tc>
        <w:tc>
          <w:tcPr>
            <w:tcW w:type="dxa" w:w="632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可接入</w:t>
            </w:r>
            <w:r>
              <w:rPr>
                <w:sz w:val="21"/>
              </w:rPr>
              <w:t>≥16块接口为SATA的硬盘，每个SATA口可接入≥16TB容量的硬盘</w:t>
            </w:r>
            <w:r>
              <w:rPr>
                <w:sz w:val="21"/>
              </w:rPr>
              <w:t>。</w:t>
            </w:r>
          </w:p>
        </w:tc>
      </w:tr>
      <w:tr>
        <w:tc>
          <w:tcPr>
            <w:tcW w:type="dxa" w:w="197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网络接口</w:t>
            </w:r>
          </w:p>
        </w:tc>
        <w:tc>
          <w:tcPr>
            <w:tcW w:type="dxa" w:w="632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不少于</w:t>
            </w:r>
            <w:r>
              <w:rPr>
                <w:sz w:val="21"/>
              </w:rPr>
              <w:t>2个RJ45 10/100/1000Mbps自适应以太网口</w:t>
            </w:r>
            <w:r>
              <w:rPr>
                <w:sz w:val="21"/>
              </w:rPr>
              <w:t>。</w:t>
            </w:r>
          </w:p>
        </w:tc>
      </w:tr>
      <w:tr>
        <w:tc>
          <w:tcPr>
            <w:tcW w:type="dxa" w:w="197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解码能力</w:t>
            </w:r>
          </w:p>
        </w:tc>
        <w:tc>
          <w:tcPr>
            <w:tcW w:type="dxa" w:w="632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不低于</w:t>
            </w:r>
            <w:r>
              <w:rPr>
                <w:sz w:val="21"/>
              </w:rPr>
              <w:t>2路32M@20fps</w:t>
            </w:r>
            <w:r>
              <w:rPr>
                <w:sz w:val="21"/>
              </w:rPr>
              <w:t>；</w:t>
            </w:r>
            <w:r>
              <w:rPr>
                <w:sz w:val="21"/>
              </w:rPr>
              <w:t>不少于</w:t>
            </w:r>
            <w:r>
              <w:rPr>
                <w:sz w:val="21"/>
              </w:rPr>
              <w:t>2路24M@20fps</w:t>
            </w:r>
            <w:r>
              <w:rPr>
                <w:sz w:val="21"/>
              </w:rPr>
              <w:t>；</w:t>
            </w:r>
            <w:r>
              <w:rPr>
                <w:sz w:val="21"/>
              </w:rPr>
              <w:t>不少于</w:t>
            </w:r>
            <w:r>
              <w:rPr>
                <w:sz w:val="21"/>
              </w:rPr>
              <w:t>4路 16 MP@30fps</w:t>
            </w:r>
            <w:r>
              <w:rPr>
                <w:sz w:val="21"/>
              </w:rPr>
              <w:t>；</w:t>
            </w:r>
            <w:r>
              <w:rPr>
                <w:sz w:val="21"/>
              </w:rPr>
              <w:t>不少于</w:t>
            </w:r>
            <w:r>
              <w:rPr>
                <w:sz w:val="21"/>
              </w:rPr>
              <w:t>5路 12 MP@30fps</w:t>
            </w:r>
            <w:r>
              <w:rPr>
                <w:sz w:val="21"/>
              </w:rPr>
              <w:t>；</w:t>
            </w:r>
            <w:r>
              <w:rPr>
                <w:sz w:val="21"/>
              </w:rPr>
              <w:t>不少于</w:t>
            </w:r>
            <w:r>
              <w:rPr>
                <w:sz w:val="21"/>
              </w:rPr>
              <w:t>8路 8 MP@30fps</w:t>
            </w:r>
            <w:r>
              <w:rPr>
                <w:sz w:val="21"/>
              </w:rPr>
              <w:t>；</w:t>
            </w:r>
            <w:r>
              <w:rPr>
                <w:sz w:val="21"/>
              </w:rPr>
              <w:t>不少于</w:t>
            </w:r>
            <w:r>
              <w:rPr>
                <w:sz w:val="21"/>
              </w:rPr>
              <w:t>12路 5 MP@30fps</w:t>
            </w:r>
            <w:r>
              <w:rPr>
                <w:sz w:val="21"/>
              </w:rPr>
              <w:t>；</w:t>
            </w:r>
            <w:r>
              <w:rPr>
                <w:sz w:val="21"/>
              </w:rPr>
              <w:t>不少于</w:t>
            </w:r>
            <w:r>
              <w:rPr>
                <w:sz w:val="21"/>
              </w:rPr>
              <w:t>16路 4 MP@30fps</w:t>
            </w:r>
            <w:r>
              <w:rPr>
                <w:sz w:val="21"/>
              </w:rPr>
              <w:t>；</w:t>
            </w:r>
            <w:r>
              <w:rPr>
                <w:sz w:val="21"/>
              </w:rPr>
              <w:t>不少于</w:t>
            </w:r>
            <w:r>
              <w:rPr>
                <w:sz w:val="21"/>
              </w:rPr>
              <w:t>32路 1080p@30fps</w:t>
            </w:r>
            <w:r>
              <w:rPr>
                <w:sz w:val="21"/>
              </w:rPr>
              <w:t>。</w:t>
            </w:r>
          </w:p>
        </w:tc>
      </w:tr>
      <w:tr>
        <w:tc>
          <w:tcPr>
            <w:tcW w:type="dxa" w:w="197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显示功能</w:t>
            </w:r>
          </w:p>
        </w:tc>
        <w:tc>
          <w:tcPr>
            <w:tcW w:type="dxa" w:w="632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≥2路VGA输出，≥2路HDMI输出，支持VGA1和HDMI 1同源输出，双HDMI 异源输出，支持</w:t>
            </w:r>
            <w:r>
              <w:rPr>
                <w:sz w:val="21"/>
              </w:rPr>
              <w:t>≥</w:t>
            </w:r>
            <w:r>
              <w:rPr>
                <w:sz w:val="21"/>
              </w:rPr>
              <w:t>4K显示</w:t>
            </w:r>
            <w:r>
              <w:rPr>
                <w:sz w:val="21"/>
              </w:rPr>
              <w:t>。</w:t>
            </w:r>
          </w:p>
        </w:tc>
      </w:tr>
      <w:tr>
        <w:tc>
          <w:tcPr>
            <w:tcW w:type="dxa" w:w="197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报警接口</w:t>
            </w:r>
          </w:p>
        </w:tc>
        <w:tc>
          <w:tcPr>
            <w:tcW w:type="dxa" w:w="632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设备支持</w:t>
            </w:r>
            <w:r>
              <w:rPr>
                <w:sz w:val="21"/>
              </w:rPr>
              <w:t>≥16路报警输入、≥8路报警输出</w:t>
            </w:r>
            <w:r>
              <w:rPr>
                <w:sz w:val="21"/>
              </w:rPr>
              <w:t>。</w:t>
            </w:r>
          </w:p>
        </w:tc>
      </w:tr>
      <w:tr>
        <w:tc>
          <w:tcPr>
            <w:tcW w:type="dxa" w:w="197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音频接口</w:t>
            </w:r>
          </w:p>
        </w:tc>
        <w:tc>
          <w:tcPr>
            <w:tcW w:type="dxa" w:w="632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设备支持</w:t>
            </w:r>
            <w:r>
              <w:rPr>
                <w:sz w:val="21"/>
              </w:rPr>
              <w:t>≥1路音频接口输入、≥2路音频接口输出</w:t>
            </w:r>
            <w:r>
              <w:rPr>
                <w:sz w:val="21"/>
              </w:rPr>
              <w:t>。</w:t>
            </w:r>
          </w:p>
        </w:tc>
      </w:tr>
      <w:tr>
        <w:tc>
          <w:tcPr>
            <w:tcW w:type="dxa" w:w="197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音频编码功能</w:t>
            </w:r>
          </w:p>
        </w:tc>
        <w:tc>
          <w:tcPr>
            <w:tcW w:type="dxa" w:w="632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w:t>
            </w:r>
            <w:r>
              <w:rPr>
                <w:sz w:val="21"/>
              </w:rPr>
              <w:t>音频编码格式支持</w:t>
            </w:r>
            <w:r>
              <w:rPr>
                <w:sz w:val="21"/>
              </w:rPr>
              <w:t>G.711alaw、G711ulaw、G.711A、PCM、G.711Mu、G.726、AAC、G.722、G729、MPEG2-layer2；音频采样率有8kHz、16kHz、32kHz、48kHz、64kHz；支持IPC复合音频输入，支持IPC复合音频输出</w:t>
            </w:r>
            <w:r>
              <w:rPr>
                <w:sz w:val="21"/>
              </w:rPr>
              <w:t>。</w:t>
            </w:r>
          </w:p>
          <w:p>
            <w:pPr>
              <w:pStyle w:val="null3"/>
              <w:spacing w:after="120"/>
              <w:jc w:val="both"/>
            </w:pPr>
            <w:r>
              <w:rPr>
                <w:sz w:val="21"/>
              </w:rPr>
              <w:t>（提供报告首页具有</w:t>
            </w:r>
            <w:r>
              <w:rPr>
                <w:sz w:val="21"/>
              </w:rPr>
              <w:t>CNAS标识的第三方检测报告复印件，并加盖厂商投标专用章或公章</w:t>
            </w:r>
            <w:r>
              <w:rPr>
                <w:sz w:val="21"/>
              </w:rPr>
              <w:t>，注明</w:t>
            </w:r>
            <w:r>
              <w:rPr>
                <w:sz w:val="21"/>
              </w:rPr>
              <w:t>采购</w:t>
            </w:r>
            <w:r>
              <w:rPr>
                <w:sz w:val="21"/>
              </w:rPr>
              <w:t>项目名称的水印</w:t>
            </w:r>
            <w:r>
              <w:rPr>
                <w:sz w:val="21"/>
              </w:rPr>
              <w:t>）</w:t>
            </w:r>
          </w:p>
        </w:tc>
      </w:tr>
      <w:tr>
        <w:tc>
          <w:tcPr>
            <w:tcW w:type="dxa" w:w="197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录像回放功能</w:t>
            </w:r>
          </w:p>
        </w:tc>
        <w:tc>
          <w:tcPr>
            <w:tcW w:type="dxa" w:w="632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可同时正放或倒放</w:t>
            </w:r>
            <w:r>
              <w:rPr>
                <w:sz w:val="21"/>
              </w:rPr>
              <w:t>≥32路H.265或H.264编码</w:t>
            </w:r>
            <w:r>
              <w:rPr>
                <w:sz w:val="21"/>
              </w:rPr>
              <w:t>≥</w:t>
            </w:r>
            <w:r>
              <w:rPr>
                <w:sz w:val="21"/>
              </w:rPr>
              <w:t>1080P分辨率的视频图像；或者≥16路H.265和H.264编码、</w:t>
            </w:r>
            <w:r>
              <w:rPr>
                <w:sz w:val="21"/>
              </w:rPr>
              <w:t>≥</w:t>
            </w:r>
            <w:r>
              <w:rPr>
                <w:sz w:val="21"/>
              </w:rPr>
              <w:t>2560×1440分辨率的视频图像；或≥10路H.265或H.264编码、</w:t>
            </w:r>
            <w:r>
              <w:rPr>
                <w:sz w:val="21"/>
              </w:rPr>
              <w:t>≥</w:t>
            </w:r>
            <w:r>
              <w:rPr>
                <w:sz w:val="21"/>
              </w:rPr>
              <w:t>4096×2160分辨率的视频图像；或≥3路H.265或H.264编码、</w:t>
            </w:r>
            <w:r>
              <w:rPr>
                <w:sz w:val="21"/>
              </w:rPr>
              <w:t>≥</w:t>
            </w:r>
            <w:r>
              <w:rPr>
                <w:sz w:val="21"/>
              </w:rPr>
              <w:t>8192×3840分辨率的视频图像</w:t>
            </w:r>
            <w:r>
              <w:rPr>
                <w:sz w:val="21"/>
              </w:rPr>
              <w:t>。</w:t>
            </w:r>
          </w:p>
        </w:tc>
      </w:tr>
      <w:tr>
        <w:tc>
          <w:tcPr>
            <w:tcW w:type="dxa" w:w="197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人脸库功能</w:t>
            </w:r>
          </w:p>
        </w:tc>
        <w:tc>
          <w:tcPr>
            <w:tcW w:type="dxa" w:w="632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w:t>
            </w:r>
            <w:r>
              <w:rPr>
                <w:sz w:val="21"/>
              </w:rPr>
              <w:t>支持创建人脸名单库，最大支持</w:t>
            </w:r>
            <w:r>
              <w:rPr>
                <w:sz w:val="21"/>
              </w:rPr>
              <w:t>128个人脸库，人脸库最多支持100万人脸库，可创建路人库，路人库最多支持50万人脸抓拍图片，可通过U盘、PC客户端、设备本地人脸检索结果导入人脸名单图片，可批量导入导出人脸库图片,最大支持3840×2160像素人脸照片导入，支持对单个或多个通道进行布控，布控对象可为单个人脸库或多个人脸库，人脸对比相似度阈值可设</w:t>
            </w:r>
            <w:r>
              <w:rPr>
                <w:sz w:val="21"/>
              </w:rPr>
              <w:t>。</w:t>
            </w:r>
          </w:p>
          <w:p>
            <w:pPr>
              <w:pStyle w:val="null3"/>
              <w:jc w:val="both"/>
            </w:pPr>
            <w:r>
              <w:rPr>
                <w:sz w:val="21"/>
              </w:rPr>
              <w:t>（提供报告首页具有</w:t>
            </w:r>
            <w:r>
              <w:rPr>
                <w:sz w:val="21"/>
              </w:rPr>
              <w:t>CNAS 标识的第三方检测报告复印件，并加盖厂商投标专用章或公章</w:t>
            </w:r>
            <w:r>
              <w:rPr>
                <w:sz w:val="21"/>
              </w:rPr>
              <w:t>，注明</w:t>
            </w:r>
            <w:r>
              <w:rPr>
                <w:sz w:val="21"/>
              </w:rPr>
              <w:t>采购</w:t>
            </w:r>
            <w:r>
              <w:rPr>
                <w:sz w:val="21"/>
              </w:rPr>
              <w:t>项目名称的水印</w:t>
            </w:r>
            <w:r>
              <w:rPr>
                <w:sz w:val="21"/>
              </w:rPr>
              <w:t>）</w:t>
            </w:r>
          </w:p>
        </w:tc>
      </w:tr>
      <w:tr>
        <w:tc>
          <w:tcPr>
            <w:tcW w:type="dxa" w:w="197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防火墙功能</w:t>
            </w:r>
          </w:p>
        </w:tc>
        <w:tc>
          <w:tcPr>
            <w:tcW w:type="dxa" w:w="632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具备防火墙能力，能够抗</w:t>
            </w:r>
            <w:r>
              <w:rPr>
                <w:sz w:val="21"/>
              </w:rPr>
              <w:t>ICMP洪泛攻击、防半连接攻击。</w:t>
            </w:r>
          </w:p>
        </w:tc>
      </w:tr>
      <w:tr>
        <w:tc>
          <w:tcPr>
            <w:tcW w:type="dxa" w:w="197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设备搜索管理功能</w:t>
            </w:r>
          </w:p>
        </w:tc>
        <w:tc>
          <w:tcPr>
            <w:tcW w:type="dxa" w:w="632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w:t>
            </w:r>
            <w:r>
              <w:rPr>
                <w:sz w:val="21"/>
              </w:rPr>
              <w:t>支持鼠标双击搜索列表中的设备进行添加。支持同时选择多个设备进行一键添加。支持手动输入</w:t>
            </w:r>
            <w:r>
              <w:rPr>
                <w:sz w:val="21"/>
              </w:rPr>
              <w:t>IP地址、端口、用户名、密码等信息的方式对设备进行添加</w:t>
            </w:r>
            <w:r>
              <w:rPr>
                <w:sz w:val="21"/>
              </w:rPr>
              <w:t>。</w:t>
            </w:r>
          </w:p>
          <w:p>
            <w:pPr>
              <w:pStyle w:val="null3"/>
              <w:jc w:val="both"/>
            </w:pPr>
            <w:r>
              <w:rPr>
                <w:sz w:val="21"/>
              </w:rPr>
              <w:t>（提供报告首页具有</w:t>
            </w:r>
            <w:r>
              <w:rPr>
                <w:sz w:val="21"/>
              </w:rPr>
              <w:t>CNAS 标识的第三方检测报告复印件，并加盖厂商投标专用章或公章</w:t>
            </w:r>
            <w:r>
              <w:rPr>
                <w:sz w:val="21"/>
              </w:rPr>
              <w:t>，注明</w:t>
            </w:r>
            <w:r>
              <w:rPr>
                <w:sz w:val="21"/>
              </w:rPr>
              <w:t>采购</w:t>
            </w:r>
            <w:r>
              <w:rPr>
                <w:sz w:val="21"/>
              </w:rPr>
              <w:t>项目名称的水印</w:t>
            </w:r>
            <w:r>
              <w:rPr>
                <w:sz w:val="21"/>
              </w:rPr>
              <w:t>）</w:t>
            </w:r>
          </w:p>
        </w:tc>
      </w:tr>
      <w:tr>
        <w:tc>
          <w:tcPr>
            <w:tcW w:type="dxa" w:w="197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安全日志功能</w:t>
            </w:r>
          </w:p>
        </w:tc>
        <w:tc>
          <w:tcPr>
            <w:tcW w:type="dxa" w:w="632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w:t>
            </w:r>
            <w:r>
              <w:rPr>
                <w:sz w:val="21"/>
              </w:rPr>
              <w:t>设备应自动记录与设备信息安全相关的日志信息，作为独立的安全日志</w:t>
            </w:r>
            <w:r>
              <w:rPr>
                <w:sz w:val="21"/>
              </w:rPr>
              <w:t>,内容包括用户登录/登出、重要和敏感操作、安全事件等,并划分独立的记录空间存储安全日志,其它日志信息不能覆盖安全日志</w:t>
            </w:r>
            <w:r>
              <w:rPr>
                <w:sz w:val="21"/>
              </w:rPr>
              <w:t>。</w:t>
            </w:r>
          </w:p>
          <w:p>
            <w:pPr>
              <w:pStyle w:val="null3"/>
              <w:jc w:val="both"/>
            </w:pPr>
            <w:r>
              <w:rPr>
                <w:sz w:val="21"/>
              </w:rPr>
              <w:t>（提供报告首页具有</w:t>
            </w:r>
            <w:r>
              <w:rPr>
                <w:sz w:val="21"/>
              </w:rPr>
              <w:t>CNAS 标识的第三方检测报告复印件，并加盖厂商投标专用章或公章</w:t>
            </w:r>
            <w:r>
              <w:rPr>
                <w:sz w:val="21"/>
              </w:rPr>
              <w:t>，注明</w:t>
            </w:r>
            <w:r>
              <w:rPr>
                <w:sz w:val="21"/>
              </w:rPr>
              <w:t>采购</w:t>
            </w:r>
            <w:r>
              <w:rPr>
                <w:sz w:val="21"/>
              </w:rPr>
              <w:t>项目名称的水印</w:t>
            </w:r>
            <w:r>
              <w:rPr>
                <w:sz w:val="21"/>
              </w:rPr>
              <w:t>）</w:t>
            </w:r>
          </w:p>
        </w:tc>
      </w:tr>
      <w:tr>
        <w:tc>
          <w:tcPr>
            <w:tcW w:type="dxa" w:w="197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USB接口</w:t>
            </w:r>
          </w:p>
        </w:tc>
        <w:tc>
          <w:tcPr>
            <w:tcW w:type="dxa" w:w="632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设备支持</w:t>
            </w:r>
            <w:r>
              <w:rPr>
                <w:sz w:val="21"/>
              </w:rPr>
              <w:t>≥4个USB接口</w:t>
            </w:r>
            <w:r>
              <w:rPr>
                <w:sz w:val="21"/>
              </w:rPr>
              <w:t>。</w:t>
            </w:r>
          </w:p>
        </w:tc>
      </w:tr>
      <w:tr>
        <w:tc>
          <w:tcPr>
            <w:tcW w:type="dxa" w:w="197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关联录像</w:t>
            </w:r>
          </w:p>
        </w:tc>
        <w:tc>
          <w:tcPr>
            <w:tcW w:type="dxa" w:w="632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支持日志联动录像回放，轻松回放每条日志所对应的录像</w:t>
            </w:r>
            <w:r>
              <w:rPr>
                <w:sz w:val="21"/>
              </w:rPr>
              <w:t>。</w:t>
            </w:r>
          </w:p>
        </w:tc>
      </w:tr>
      <w:tr>
        <w:tc>
          <w:tcPr>
            <w:tcW w:type="dxa" w:w="197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图片存储回放</w:t>
            </w:r>
          </w:p>
        </w:tc>
        <w:tc>
          <w:tcPr>
            <w:tcW w:type="dxa" w:w="632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支持图片录像的本地存储、查询与回放</w:t>
            </w:r>
            <w:r>
              <w:rPr>
                <w:sz w:val="21"/>
              </w:rPr>
              <w:t>。</w:t>
            </w:r>
          </w:p>
        </w:tc>
      </w:tr>
      <w:tr>
        <w:tc>
          <w:tcPr>
            <w:tcW w:type="dxa" w:w="197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电源</w:t>
            </w:r>
          </w:p>
        </w:tc>
        <w:tc>
          <w:tcPr>
            <w:tcW w:type="dxa" w:w="632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w:t>
            </w:r>
            <w:r>
              <w:rPr>
                <w:sz w:val="21"/>
              </w:rPr>
              <w:t>1个电源接口，AC90V~264V 50+2% Hz</w:t>
            </w:r>
            <w:r>
              <w:rPr>
                <w:sz w:val="21"/>
              </w:rPr>
              <w:t>。</w:t>
            </w:r>
          </w:p>
        </w:tc>
      </w:tr>
      <w:tr>
        <w:tc>
          <w:tcPr>
            <w:tcW w:type="dxa" w:w="197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工作环境</w:t>
            </w:r>
          </w:p>
        </w:tc>
        <w:tc>
          <w:tcPr>
            <w:tcW w:type="dxa" w:w="632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工作温度</w:t>
            </w:r>
            <w:r>
              <w:rPr>
                <w:sz w:val="21"/>
              </w:rPr>
              <w:t>-10℃~＋55℃`</w:t>
            </w:r>
            <w:r>
              <w:rPr>
                <w:sz w:val="21"/>
              </w:rPr>
              <w:t>。</w:t>
            </w:r>
          </w:p>
          <w:p>
            <w:pPr>
              <w:pStyle w:val="null3"/>
              <w:jc w:val="both"/>
            </w:pPr>
            <w:r>
              <w:rPr>
                <w:sz w:val="21"/>
              </w:rPr>
              <w:t>工作湿度</w:t>
            </w:r>
            <w:r>
              <w:rPr>
                <w:sz w:val="21"/>
              </w:rPr>
              <w:t>10%~90%</w:t>
            </w:r>
            <w:r>
              <w:rPr>
                <w:sz w:val="21"/>
              </w:rPr>
              <w:t>。</w:t>
            </w:r>
          </w:p>
        </w:tc>
      </w:tr>
    </w:tbl>
    <w:p>
      <w:pPr>
        <w:pStyle w:val="null3"/>
        <w:ind w:firstLine="420"/>
      </w:pPr>
      <w:r>
        <w:rPr>
          <w:sz w:val="21"/>
        </w:rPr>
        <w:t>8.图片存储服务器</w:t>
      </w:r>
    </w:p>
    <w:tbl>
      <w:tblPr>
        <w:tblW w:w="0" w:type="auto"/>
        <w:tblBorders>
          <w:top w:val="none" w:color="000000" w:sz="4"/>
          <w:left w:val="none" w:color="000000" w:sz="4"/>
          <w:bottom w:val="none" w:color="000000" w:sz="4"/>
          <w:right w:val="none" w:color="000000" w:sz="4"/>
          <w:insideH w:val="none"/>
          <w:insideV w:val="none"/>
        </w:tblBorders>
      </w:tblPr>
      <w:tblGrid>
        <w:gridCol w:w="1669"/>
        <w:gridCol w:w="6634"/>
      </w:tblGrid>
      <w:tr>
        <w:tc>
          <w:tcPr>
            <w:tcW w:type="dxa" w:w="1669"/>
            <w:tcBorders>
              <w:top w:val="singl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参数项</w:t>
            </w:r>
          </w:p>
        </w:tc>
        <w:tc>
          <w:tcPr>
            <w:tcW w:type="dxa" w:w="6634"/>
            <w:tcBorders>
              <w:top w:val="singl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技术规格要求</w:t>
            </w:r>
          </w:p>
        </w:tc>
      </w:tr>
      <w:tr>
        <w:tc>
          <w:tcPr>
            <w:tcW w:type="dxa" w:w="166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设备规格</w:t>
            </w:r>
          </w:p>
        </w:tc>
        <w:tc>
          <w:tcPr>
            <w:tcW w:type="dxa" w:w="6634"/>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设备规格：</w:t>
            </w:r>
            <w:r>
              <w:rPr>
                <w:sz w:val="21"/>
              </w:rPr>
              <w:t>≤4U，≥24盘位</w:t>
            </w:r>
            <w:r>
              <w:rPr>
                <w:sz w:val="21"/>
              </w:rPr>
              <w:t>。</w:t>
            </w:r>
          </w:p>
        </w:tc>
      </w:tr>
      <w:tr>
        <w:tc>
          <w:tcPr>
            <w:tcW w:type="dxa" w:w="166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主处理器</w:t>
            </w:r>
          </w:p>
        </w:tc>
        <w:tc>
          <w:tcPr>
            <w:tcW w:type="dxa" w:w="6634"/>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64位高性能多核处理器</w:t>
            </w:r>
            <w:r>
              <w:rPr>
                <w:sz w:val="21"/>
              </w:rPr>
              <w:t>。</w:t>
            </w:r>
          </w:p>
        </w:tc>
      </w:tr>
      <w:tr>
        <w:tc>
          <w:tcPr>
            <w:tcW w:type="dxa" w:w="166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操作系统</w:t>
            </w:r>
          </w:p>
        </w:tc>
        <w:tc>
          <w:tcPr>
            <w:tcW w:type="dxa" w:w="6634"/>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采用嵌入式</w:t>
            </w:r>
            <w:r>
              <w:rPr>
                <w:sz w:val="21"/>
              </w:rPr>
              <w:t>LINUX系统</w:t>
            </w:r>
            <w:r>
              <w:rPr>
                <w:sz w:val="21"/>
              </w:rPr>
              <w:t>。</w:t>
            </w:r>
          </w:p>
        </w:tc>
      </w:tr>
      <w:tr>
        <w:tc>
          <w:tcPr>
            <w:tcW w:type="dxa" w:w="166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系统盘</w:t>
            </w:r>
          </w:p>
        </w:tc>
        <w:tc>
          <w:tcPr>
            <w:tcW w:type="dxa" w:w="6634"/>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≥1个256GB SSD，可扩展至≥3个256GB SSD</w:t>
            </w:r>
            <w:r>
              <w:rPr>
                <w:sz w:val="21"/>
              </w:rPr>
              <w:t>。</w:t>
            </w:r>
          </w:p>
        </w:tc>
      </w:tr>
      <w:tr>
        <w:tc>
          <w:tcPr>
            <w:tcW w:type="dxa" w:w="166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高速缓存</w:t>
            </w:r>
          </w:p>
        </w:tc>
        <w:tc>
          <w:tcPr>
            <w:tcW w:type="dxa" w:w="6634"/>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≥16GB，可扩展至≥128GB</w:t>
            </w:r>
            <w:r>
              <w:rPr>
                <w:sz w:val="21"/>
              </w:rPr>
              <w:t>。</w:t>
            </w:r>
          </w:p>
        </w:tc>
      </w:tr>
      <w:tr>
        <w:tc>
          <w:tcPr>
            <w:tcW w:type="dxa" w:w="166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图片直存</w:t>
            </w:r>
          </w:p>
        </w:tc>
        <w:tc>
          <w:tcPr>
            <w:tcW w:type="dxa" w:w="6634"/>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支持</w:t>
            </w:r>
            <w:r>
              <w:rPr>
                <w:sz w:val="21"/>
              </w:rPr>
              <w:t>≥250路前端图片接入、存储、转发，≥32路网络回放</w:t>
            </w:r>
            <w:r>
              <w:rPr>
                <w:sz w:val="21"/>
              </w:rPr>
              <w:t>。</w:t>
            </w:r>
          </w:p>
        </w:tc>
      </w:tr>
      <w:tr>
        <w:tc>
          <w:tcPr>
            <w:tcW w:type="dxa" w:w="166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RAID</w:t>
            </w:r>
          </w:p>
        </w:tc>
        <w:tc>
          <w:tcPr>
            <w:tcW w:type="dxa" w:w="6634"/>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支持</w:t>
            </w:r>
            <w:r>
              <w:rPr>
                <w:sz w:val="21"/>
              </w:rPr>
              <w:t>RAID0；RAID1；RAID5；RAID6；RAID10；RAID50；RAID60；SRAID</w:t>
            </w:r>
            <w:r>
              <w:rPr>
                <w:sz w:val="21"/>
              </w:rPr>
              <w:t>。</w:t>
            </w:r>
          </w:p>
        </w:tc>
      </w:tr>
      <w:tr>
        <w:tc>
          <w:tcPr>
            <w:tcW w:type="dxa" w:w="166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接入标准</w:t>
            </w:r>
          </w:p>
        </w:tc>
        <w:tc>
          <w:tcPr>
            <w:tcW w:type="dxa" w:w="6634"/>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支持</w:t>
            </w:r>
            <w:r>
              <w:rPr>
                <w:sz w:val="21"/>
              </w:rPr>
              <w:t>ONVIF、GB/T</w:t>
            </w:r>
            <w:r>
              <w:rPr>
                <w:sz w:val="21"/>
              </w:rPr>
              <w:t xml:space="preserve"> </w:t>
            </w:r>
            <w:r>
              <w:rPr>
                <w:sz w:val="21"/>
              </w:rPr>
              <w:t>28181、GA</w:t>
            </w:r>
            <w:r>
              <w:rPr>
                <w:sz w:val="21"/>
              </w:rPr>
              <w:t xml:space="preserve">/T </w:t>
            </w:r>
            <w:r>
              <w:rPr>
                <w:sz w:val="21"/>
              </w:rPr>
              <w:t>1400</w:t>
            </w:r>
            <w:r>
              <w:rPr>
                <w:sz w:val="21"/>
              </w:rPr>
              <w:t>。</w:t>
            </w:r>
          </w:p>
        </w:tc>
      </w:tr>
      <w:tr>
        <w:tc>
          <w:tcPr>
            <w:tcW w:type="dxa" w:w="166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抽帧存储</w:t>
            </w:r>
          </w:p>
        </w:tc>
        <w:tc>
          <w:tcPr>
            <w:tcW w:type="dxa" w:w="6634"/>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支持抽帧存储功能，支持时间及抽帧率可设定</w:t>
            </w:r>
            <w:r>
              <w:rPr>
                <w:sz w:val="21"/>
              </w:rPr>
              <w:t>。</w:t>
            </w:r>
          </w:p>
        </w:tc>
      </w:tr>
      <w:tr>
        <w:tc>
          <w:tcPr>
            <w:tcW w:type="dxa" w:w="166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集群服务</w:t>
            </w:r>
          </w:p>
        </w:tc>
        <w:tc>
          <w:tcPr>
            <w:tcW w:type="dxa" w:w="6634"/>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支持</w:t>
            </w:r>
            <w:r>
              <w:rPr>
                <w:sz w:val="21"/>
              </w:rPr>
              <w:t>N+M集群功能</w:t>
            </w:r>
            <w:r>
              <w:rPr>
                <w:sz w:val="21"/>
              </w:rPr>
              <w:t>。</w:t>
            </w:r>
          </w:p>
        </w:tc>
      </w:tr>
      <w:tr>
        <w:tc>
          <w:tcPr>
            <w:tcW w:type="dxa" w:w="166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断网续传</w:t>
            </w:r>
          </w:p>
        </w:tc>
        <w:tc>
          <w:tcPr>
            <w:tcW w:type="dxa" w:w="6634"/>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支持前端断网时间段内</w:t>
            </w:r>
            <w:r>
              <w:rPr>
                <w:sz w:val="21"/>
              </w:rPr>
              <w:t>SD卡中的录像回传到设备中</w:t>
            </w:r>
            <w:r>
              <w:rPr>
                <w:sz w:val="21"/>
              </w:rPr>
              <w:t>。</w:t>
            </w:r>
          </w:p>
        </w:tc>
      </w:tr>
      <w:tr>
        <w:tc>
          <w:tcPr>
            <w:tcW w:type="dxa" w:w="166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SAS数据通信环功能</w:t>
            </w:r>
          </w:p>
        </w:tc>
        <w:tc>
          <w:tcPr>
            <w:tcW w:type="dxa" w:w="6634"/>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spacing w:after="120"/>
              <w:jc w:val="both"/>
            </w:pPr>
            <w:r>
              <w:rPr>
                <w:sz w:val="21"/>
              </w:rPr>
              <w:t>▲</w:t>
            </w:r>
            <w:r>
              <w:rPr>
                <w:sz w:val="21"/>
              </w:rPr>
              <w:t>支持任意</w:t>
            </w:r>
            <w:r>
              <w:rPr>
                <w:sz w:val="21"/>
              </w:rPr>
              <w:t>N 台设备（N≥2） 通过 SAS数据线组成环状结构集群， 设备集群之间数据能够通过环状结构进行传递和通信， 其中任意 1 台设备都可以访问其下游设备中的数据</w:t>
            </w:r>
            <w:r>
              <w:rPr>
                <w:sz w:val="21"/>
              </w:rPr>
              <w:t>。</w:t>
            </w:r>
          </w:p>
          <w:p>
            <w:pPr>
              <w:pStyle w:val="null3"/>
              <w:spacing w:after="120"/>
              <w:jc w:val="both"/>
            </w:pPr>
            <w:r>
              <w:rPr>
                <w:sz w:val="21"/>
              </w:rPr>
              <w:t>（提供报告首页具有</w:t>
            </w:r>
            <w:r>
              <w:rPr>
                <w:sz w:val="21"/>
              </w:rPr>
              <w:t>CNAS 和 CMA 标识的第三方检测报告复印件，并加盖厂商投标专用章或公章</w:t>
            </w:r>
            <w:r>
              <w:rPr>
                <w:sz w:val="21"/>
              </w:rPr>
              <w:t>，注明</w:t>
            </w:r>
            <w:r>
              <w:rPr>
                <w:sz w:val="21"/>
              </w:rPr>
              <w:t>采购</w:t>
            </w:r>
            <w:r>
              <w:rPr>
                <w:sz w:val="21"/>
              </w:rPr>
              <w:t>项目名称的水印</w:t>
            </w:r>
            <w:r>
              <w:rPr>
                <w:sz w:val="21"/>
              </w:rPr>
              <w:t>）</w:t>
            </w:r>
          </w:p>
        </w:tc>
      </w:tr>
      <w:tr>
        <w:tc>
          <w:tcPr>
            <w:tcW w:type="dxa" w:w="166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SAS 集群功能</w:t>
            </w:r>
          </w:p>
        </w:tc>
        <w:tc>
          <w:tcPr>
            <w:tcW w:type="dxa" w:w="6634"/>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spacing w:after="120"/>
              <w:jc w:val="both"/>
            </w:pPr>
            <w:r>
              <w:rPr>
                <w:sz w:val="21"/>
              </w:rPr>
              <w:t>▲</w:t>
            </w:r>
            <w:r>
              <w:rPr>
                <w:sz w:val="21"/>
              </w:rPr>
              <w:t>支持多台设备组成</w:t>
            </w:r>
            <w:r>
              <w:rPr>
                <w:sz w:val="21"/>
              </w:rPr>
              <w:t>SAS 数据环集群，当环状结构上的任意 1 个节点出现故障（包括主控盒硬件故障、 软件故障或者网络故障等）， 该节点设备上的硬盘通过 SAS 链路被上游设备接管， 该节点设备的上业务也会迁移到上游设备继续执行， 从而实现业务不中断、录像不丢失， 同时该故障设备的硬盘中数据可以被上游设备读取</w:t>
            </w:r>
            <w:r>
              <w:rPr>
                <w:sz w:val="21"/>
              </w:rPr>
              <w:t>。</w:t>
            </w:r>
          </w:p>
          <w:p>
            <w:pPr>
              <w:pStyle w:val="null3"/>
              <w:spacing w:after="120"/>
              <w:jc w:val="both"/>
            </w:pPr>
            <w:r>
              <w:rPr>
                <w:sz w:val="21"/>
              </w:rPr>
              <w:t>（提供报告首页具有</w:t>
            </w:r>
            <w:r>
              <w:rPr>
                <w:sz w:val="21"/>
              </w:rPr>
              <w:t>CNAS 和 CMA 标识的第三方检测报告复印件，并加盖厂商投标专用章或公章</w:t>
            </w:r>
            <w:r>
              <w:rPr>
                <w:sz w:val="21"/>
              </w:rPr>
              <w:t>，注明</w:t>
            </w:r>
            <w:r>
              <w:rPr>
                <w:sz w:val="21"/>
              </w:rPr>
              <w:t>采购</w:t>
            </w:r>
            <w:r>
              <w:rPr>
                <w:sz w:val="21"/>
              </w:rPr>
              <w:t>项目名称的水印</w:t>
            </w:r>
            <w:r>
              <w:rPr>
                <w:sz w:val="21"/>
              </w:rPr>
              <w:t>）</w:t>
            </w:r>
          </w:p>
        </w:tc>
      </w:tr>
      <w:tr>
        <w:tc>
          <w:tcPr>
            <w:tcW w:type="dxa" w:w="166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硬盘接口</w:t>
            </w:r>
          </w:p>
        </w:tc>
        <w:tc>
          <w:tcPr>
            <w:tcW w:type="dxa" w:w="6634"/>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≥24个SATA；CMR单盘最大支持≥24TB硬盘，SMR单盘最大支持≥30TB；</w:t>
            </w:r>
            <w:r>
              <w:br/>
            </w:r>
            <w:r>
              <w:rPr>
                <w:sz w:val="21"/>
              </w:rPr>
              <w:t>支持热插拔；支持</w:t>
            </w:r>
            <w:r>
              <w:rPr>
                <w:sz w:val="21"/>
              </w:rPr>
              <w:t>CMR，SMR</w:t>
            </w:r>
            <w:r>
              <w:rPr>
                <w:sz w:val="21"/>
              </w:rPr>
              <w:t>。</w:t>
            </w:r>
          </w:p>
        </w:tc>
      </w:tr>
      <w:tr>
        <w:tc>
          <w:tcPr>
            <w:tcW w:type="dxa" w:w="166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报警功能</w:t>
            </w:r>
          </w:p>
        </w:tc>
        <w:tc>
          <w:tcPr>
            <w:tcW w:type="dxa" w:w="6634"/>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spacing w:after="120"/>
              <w:jc w:val="both"/>
            </w:pPr>
            <w:r>
              <w:rPr>
                <w:sz w:val="21"/>
              </w:rPr>
              <w:t>▲</w:t>
            </w:r>
            <w:r>
              <w:rPr>
                <w:sz w:val="21"/>
              </w:rPr>
              <w:t>设备具有液晶屏提示、报警指示灯提示、</w:t>
            </w:r>
            <w:r>
              <w:rPr>
                <w:sz w:val="21"/>
              </w:rPr>
              <w:t>SNMP Trap、声音提示、Email报警等报警方式，可对IP冲突、网口降速、电源故障、风扇故障、无硬盘、存储错误、存储空间满、RAID异常、录像丢帧、Mac冲突、登陆锁定、网络安全异常、SSD健康异常、无热备盘等情况进行报警</w:t>
            </w:r>
            <w:r>
              <w:rPr>
                <w:sz w:val="21"/>
              </w:rPr>
              <w:t>。</w:t>
            </w:r>
          </w:p>
          <w:p>
            <w:pPr>
              <w:pStyle w:val="null3"/>
              <w:spacing w:after="120"/>
              <w:jc w:val="both"/>
            </w:pPr>
            <w:r>
              <w:rPr>
                <w:sz w:val="21"/>
              </w:rPr>
              <w:t>（提供报告首页具有</w:t>
            </w:r>
            <w:r>
              <w:rPr>
                <w:sz w:val="21"/>
              </w:rPr>
              <w:t>CNAS 和 CMA 标识的第三方检测报告复印件，并加盖厂商投标专用章或公章</w:t>
            </w:r>
            <w:r>
              <w:rPr>
                <w:sz w:val="21"/>
              </w:rPr>
              <w:t>，注明</w:t>
            </w:r>
            <w:r>
              <w:rPr>
                <w:sz w:val="21"/>
              </w:rPr>
              <w:t>采购</w:t>
            </w:r>
            <w:r>
              <w:rPr>
                <w:sz w:val="21"/>
              </w:rPr>
              <w:t>项目名称的水印</w:t>
            </w:r>
            <w:r>
              <w:rPr>
                <w:sz w:val="21"/>
              </w:rPr>
              <w:t>）</w:t>
            </w:r>
          </w:p>
        </w:tc>
      </w:tr>
      <w:tr>
        <w:tc>
          <w:tcPr>
            <w:tcW w:type="dxa" w:w="166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eSATA接口</w:t>
            </w:r>
          </w:p>
        </w:tc>
        <w:tc>
          <w:tcPr>
            <w:tcW w:type="dxa" w:w="6634"/>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≥1个</w:t>
            </w:r>
            <w:r>
              <w:rPr>
                <w:sz w:val="21"/>
              </w:rPr>
              <w:t>。</w:t>
            </w:r>
          </w:p>
        </w:tc>
      </w:tr>
      <w:tr>
        <w:tc>
          <w:tcPr>
            <w:tcW w:type="dxa" w:w="166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RS-232接口</w:t>
            </w:r>
          </w:p>
        </w:tc>
        <w:tc>
          <w:tcPr>
            <w:tcW w:type="dxa" w:w="6634"/>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≥1个</w:t>
            </w:r>
            <w:r>
              <w:rPr>
                <w:sz w:val="21"/>
              </w:rPr>
              <w:t>。</w:t>
            </w:r>
          </w:p>
        </w:tc>
      </w:tr>
      <w:tr>
        <w:tc>
          <w:tcPr>
            <w:tcW w:type="dxa" w:w="166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USB接口</w:t>
            </w:r>
          </w:p>
        </w:tc>
        <w:tc>
          <w:tcPr>
            <w:tcW w:type="dxa" w:w="6634"/>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 xml:space="preserve">≥4个USB </w:t>
            </w:r>
            <w:r>
              <w:rPr>
                <w:sz w:val="21"/>
              </w:rPr>
              <w:t>。</w:t>
            </w:r>
          </w:p>
        </w:tc>
      </w:tr>
      <w:tr>
        <w:tc>
          <w:tcPr>
            <w:tcW w:type="dxa" w:w="166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HDMI接口</w:t>
            </w:r>
          </w:p>
        </w:tc>
        <w:tc>
          <w:tcPr>
            <w:tcW w:type="dxa" w:w="6634"/>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≥1个</w:t>
            </w:r>
            <w:r>
              <w:rPr>
                <w:sz w:val="21"/>
              </w:rPr>
              <w:t>。</w:t>
            </w:r>
          </w:p>
        </w:tc>
      </w:tr>
      <w:tr>
        <w:tc>
          <w:tcPr>
            <w:tcW w:type="dxa" w:w="166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VGA接口</w:t>
            </w:r>
          </w:p>
        </w:tc>
        <w:tc>
          <w:tcPr>
            <w:tcW w:type="dxa" w:w="6634"/>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≥1个</w:t>
            </w:r>
            <w:r>
              <w:rPr>
                <w:sz w:val="21"/>
              </w:rPr>
              <w:t>。</w:t>
            </w:r>
          </w:p>
        </w:tc>
      </w:tr>
      <w:tr>
        <w:tc>
          <w:tcPr>
            <w:tcW w:type="dxa" w:w="166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网络接口</w:t>
            </w:r>
          </w:p>
        </w:tc>
        <w:tc>
          <w:tcPr>
            <w:tcW w:type="dxa" w:w="6634"/>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≥1个千兆管理电口，≥4个千兆数据电口</w:t>
            </w:r>
            <w:r>
              <w:rPr>
                <w:sz w:val="21"/>
              </w:rPr>
              <w:t>。</w:t>
            </w:r>
          </w:p>
        </w:tc>
      </w:tr>
      <w:tr>
        <w:tc>
          <w:tcPr>
            <w:tcW w:type="dxa" w:w="166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电源</w:t>
            </w:r>
          </w:p>
        </w:tc>
        <w:tc>
          <w:tcPr>
            <w:tcW w:type="dxa" w:w="6634"/>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1+1冗余电源</w:t>
            </w:r>
            <w:r>
              <w:rPr>
                <w:sz w:val="21"/>
              </w:rPr>
              <w:t>。</w:t>
            </w:r>
          </w:p>
        </w:tc>
      </w:tr>
      <w:tr>
        <w:tc>
          <w:tcPr>
            <w:tcW w:type="dxa" w:w="166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工作温度</w:t>
            </w:r>
          </w:p>
        </w:tc>
        <w:tc>
          <w:tcPr>
            <w:tcW w:type="dxa" w:w="6634"/>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至少</w:t>
            </w:r>
            <w:r>
              <w:rPr>
                <w:sz w:val="21"/>
              </w:rPr>
              <w:t>0℃～+45℃</w:t>
            </w:r>
            <w:r>
              <w:rPr>
                <w:sz w:val="21"/>
              </w:rPr>
              <w:t>。</w:t>
            </w:r>
          </w:p>
        </w:tc>
      </w:tr>
      <w:tr>
        <w:tc>
          <w:tcPr>
            <w:tcW w:type="dxa" w:w="166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工作湿度</w:t>
            </w:r>
          </w:p>
        </w:tc>
        <w:tc>
          <w:tcPr>
            <w:tcW w:type="dxa" w:w="6634"/>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至少</w:t>
            </w:r>
            <w:r>
              <w:rPr>
                <w:sz w:val="21"/>
              </w:rPr>
              <w:t>10%～90%RH（无凝结）</w:t>
            </w:r>
            <w:r>
              <w:rPr>
                <w:sz w:val="21"/>
              </w:rPr>
              <w:t>。</w:t>
            </w:r>
          </w:p>
        </w:tc>
      </w:tr>
    </w:tbl>
    <w:p>
      <w:pPr>
        <w:pStyle w:val="null3"/>
        <w:ind w:firstLine="420"/>
      </w:pPr>
      <w:r>
        <w:rPr>
          <w:sz w:val="21"/>
          <w:b/>
        </w:rPr>
        <w:t>四、</w:t>
      </w:r>
      <w:r>
        <w:rPr>
          <w:sz w:val="21"/>
          <w:b/>
        </w:rPr>
        <w:t>商务要求</w:t>
      </w:r>
    </w:p>
    <w:p>
      <w:pPr>
        <w:pStyle w:val="null3"/>
        <w:ind w:firstLine="420"/>
      </w:pPr>
      <w:r>
        <w:rPr>
          <w:sz w:val="21"/>
        </w:rPr>
        <w:t>1.项目管理要求</w:t>
      </w:r>
    </w:p>
    <w:p>
      <w:pPr>
        <w:pStyle w:val="null3"/>
        <w:ind w:firstLine="420"/>
      </w:pPr>
      <w:r>
        <w:rPr>
          <w:sz w:val="21"/>
        </w:rPr>
        <w:t>按照国内项目管理指南，对项目全过程、各领域进行严格管理，包括需求管理、进度管理、人力资源管理、质量管理、风险管理等，做好全面、科学、合理的项目管理计划，保证投入项目的人员组织科学、充足，项目的进度计划合理、可行，项目各阶段的跟踪管理和质量保障措施完善，项目成果保管得当。</w:t>
      </w:r>
    </w:p>
    <w:p>
      <w:pPr>
        <w:pStyle w:val="null3"/>
        <w:ind w:firstLine="420"/>
      </w:pPr>
      <w:r>
        <w:rPr>
          <w:sz w:val="21"/>
        </w:rPr>
        <w:t>2.报价要求</w:t>
      </w:r>
    </w:p>
    <w:p>
      <w:pPr>
        <w:pStyle w:val="null3"/>
        <w:ind w:right="45" w:firstLine="420"/>
        <w:jc w:val="both"/>
      </w:pPr>
      <w:r>
        <w:rPr>
          <w:sz w:val="21"/>
        </w:rPr>
        <w:t>（</w:t>
      </w:r>
      <w:r>
        <w:rPr>
          <w:sz w:val="21"/>
        </w:rPr>
        <w:t>1）响应报价应包括完成本项目的所有费用。在项目实施过程中，为达成项目系统建设目标，</w:t>
      </w:r>
      <w:r>
        <w:rPr>
          <w:sz w:val="21"/>
        </w:rPr>
        <w:t>成交供应商</w:t>
      </w:r>
      <w:r>
        <w:rPr>
          <w:sz w:val="21"/>
        </w:rPr>
        <w:t>须负责完成用户需求书要求的所有相关工作，响应总报价须包括设备、运送、保险费、设备安装、室内布线、系统集成、调试、试运行、验收、培训、售后服务等全部费用。</w:t>
      </w:r>
    </w:p>
    <w:p>
      <w:pPr>
        <w:pStyle w:val="null3"/>
        <w:ind w:firstLine="420"/>
      </w:pPr>
      <w:r>
        <w:rPr>
          <w:sz w:val="21"/>
        </w:rPr>
        <w:t>（</w:t>
      </w:r>
      <w:r>
        <w:rPr>
          <w:sz w:val="21"/>
        </w:rPr>
        <w:t>2）供应商不得以低于成本的报价竞争。经磋商小组对响应报价的成本清单评定，认为响应报价与市场价存在较大差异且供应商对履约能力方面无合理说明的，按“供应商报价明显低于成本价的且不能合理说明或不在规定时间内作说明”认定为未能实质性响应</w:t>
      </w:r>
      <w:r>
        <w:rPr>
          <w:sz w:val="21"/>
        </w:rPr>
        <w:t>磋商文件</w:t>
      </w:r>
      <w:r>
        <w:rPr>
          <w:sz w:val="21"/>
        </w:rPr>
        <w:t>要求</w:t>
      </w:r>
      <w:r>
        <w:rPr>
          <w:sz w:val="21"/>
        </w:rPr>
        <w:t>,作无效响应处理。</w:t>
      </w:r>
    </w:p>
    <w:p>
      <w:pPr>
        <w:pStyle w:val="null3"/>
        <w:ind w:firstLine="420"/>
      </w:pPr>
      <w:r>
        <w:rPr>
          <w:sz w:val="21"/>
          <w:b/>
        </w:rPr>
        <w:t>五、</w:t>
      </w:r>
      <w:r>
        <w:rPr>
          <w:sz w:val="21"/>
          <w:b/>
        </w:rPr>
        <w:t>安装、调试、验收标准</w:t>
      </w:r>
    </w:p>
    <w:p>
      <w:pPr>
        <w:pStyle w:val="null3"/>
        <w:ind w:right="45" w:firstLine="420"/>
        <w:jc w:val="both"/>
      </w:pPr>
      <w:r>
        <w:rPr>
          <w:sz w:val="21"/>
        </w:rPr>
        <w:t>1.</w:t>
      </w:r>
      <w:r>
        <w:rPr>
          <w:sz w:val="21"/>
        </w:rPr>
        <w:t>成交供应商</w:t>
      </w:r>
      <w:r>
        <w:rPr>
          <w:sz w:val="21"/>
        </w:rPr>
        <w:t>必须依照磋商文件的要求和响应文件的承诺，将设备、系统安装并调试至正常运行的最佳状态且达到相关规范要求和标准。如果合同设备运输和安装调试过程中因事故造成</w:t>
      </w:r>
      <w:r>
        <w:rPr>
          <w:sz w:val="21"/>
        </w:rPr>
        <w:t>设备</w:t>
      </w:r>
      <w:r>
        <w:rPr>
          <w:sz w:val="21"/>
        </w:rPr>
        <w:t>短缺、损坏，</w:t>
      </w:r>
      <w:r>
        <w:rPr>
          <w:sz w:val="21"/>
        </w:rPr>
        <w:t>成交供应商</w:t>
      </w:r>
      <w:r>
        <w:rPr>
          <w:sz w:val="21"/>
        </w:rPr>
        <w:t>应在</w:t>
      </w:r>
      <w:r>
        <w:rPr>
          <w:sz w:val="21"/>
        </w:rPr>
        <w:t>7个日历日内完成换货，以保证合同设备安装调试的成功完成。换货的相关费用由</w:t>
      </w:r>
      <w:r>
        <w:rPr>
          <w:sz w:val="21"/>
        </w:rPr>
        <w:t>成交供应商</w:t>
      </w:r>
      <w:r>
        <w:rPr>
          <w:sz w:val="21"/>
        </w:rPr>
        <w:t>承担。</w:t>
      </w:r>
    </w:p>
    <w:p>
      <w:pPr>
        <w:pStyle w:val="null3"/>
        <w:ind w:right="45" w:firstLine="420"/>
        <w:jc w:val="both"/>
      </w:pPr>
      <w:r>
        <w:rPr>
          <w:sz w:val="21"/>
        </w:rPr>
        <w:t>2.</w:t>
      </w:r>
      <w:r>
        <w:rPr>
          <w:sz w:val="21"/>
        </w:rPr>
        <w:t>设备</w:t>
      </w:r>
      <w:r>
        <w:rPr>
          <w:sz w:val="21"/>
        </w:rPr>
        <w:t>若有国家标准按照国家标准验收，若无国家标准按行业标准验收。</w:t>
      </w:r>
    </w:p>
    <w:p>
      <w:pPr>
        <w:pStyle w:val="null3"/>
        <w:ind w:right="45" w:firstLine="420"/>
        <w:jc w:val="both"/>
      </w:pPr>
      <w:r>
        <w:rPr>
          <w:sz w:val="21"/>
        </w:rPr>
        <w:t>3.为保证项目质量，采购人有权在项目实施过程中对</w:t>
      </w:r>
      <w:r>
        <w:rPr>
          <w:sz w:val="21"/>
        </w:rPr>
        <w:t>成交供应商</w:t>
      </w:r>
      <w:r>
        <w:rPr>
          <w:sz w:val="21"/>
        </w:rPr>
        <w:t>的施工、安装等工作进行监督，组织审定项目实施进度计划，对整个项目的服务内容进行核准认定，共同对建设工作进行各项测试直至验收完成。</w:t>
      </w:r>
    </w:p>
    <w:p>
      <w:pPr>
        <w:pStyle w:val="null3"/>
        <w:ind w:right="45" w:firstLine="420"/>
        <w:jc w:val="both"/>
      </w:pPr>
      <w:r>
        <w:rPr>
          <w:sz w:val="21"/>
        </w:rPr>
        <w:t>4.</w:t>
      </w:r>
      <w:r>
        <w:rPr>
          <w:sz w:val="21"/>
        </w:rPr>
        <w:t>成交供应商</w:t>
      </w:r>
      <w:r>
        <w:rPr>
          <w:sz w:val="21"/>
        </w:rPr>
        <w:t>应根据系统设计方案提出验收方案和验收文档清单，用户可根据合同、需求说明书的有关规定对验收规范和内容进行修改和补充，经双方确认后形成验收文件作为验收依据。</w:t>
      </w:r>
    </w:p>
    <w:p>
      <w:pPr>
        <w:pStyle w:val="null3"/>
        <w:ind w:right="45" w:firstLine="420"/>
        <w:jc w:val="both"/>
      </w:pPr>
      <w:r>
        <w:rPr>
          <w:sz w:val="21"/>
        </w:rPr>
        <w:t>5.采购人组成验收小组按国家有关规定、规范及验收文件进行验收，邀请相关的专业人员或机构进行验收。因</w:t>
      </w:r>
      <w:r>
        <w:rPr>
          <w:sz w:val="21"/>
        </w:rPr>
        <w:t>设备</w:t>
      </w:r>
      <w:r>
        <w:rPr>
          <w:sz w:val="21"/>
        </w:rPr>
        <w:t>质量问题发生争议时，由本地质量技术监督部门鉴定。</w:t>
      </w:r>
      <w:r>
        <w:rPr>
          <w:sz w:val="21"/>
        </w:rPr>
        <w:t>设备</w:t>
      </w:r>
      <w:r>
        <w:rPr>
          <w:sz w:val="21"/>
        </w:rPr>
        <w:t>符合质量技术标准的，鉴定费由采购人承担；否则鉴定费由</w:t>
      </w:r>
      <w:r>
        <w:rPr>
          <w:sz w:val="21"/>
        </w:rPr>
        <w:t>成交供应商</w:t>
      </w:r>
      <w:r>
        <w:rPr>
          <w:sz w:val="21"/>
        </w:rPr>
        <w:t>承担。</w:t>
      </w:r>
    </w:p>
    <w:p>
      <w:pPr>
        <w:pStyle w:val="null3"/>
        <w:ind w:firstLine="420"/>
      </w:pPr>
      <w:r>
        <w:rPr>
          <w:sz w:val="21"/>
        </w:rPr>
        <w:t>6.</w:t>
      </w:r>
      <w:r>
        <w:rPr>
          <w:sz w:val="21"/>
        </w:rPr>
        <w:t>成交供应商</w:t>
      </w:r>
      <w:r>
        <w:rPr>
          <w:sz w:val="21"/>
        </w:rPr>
        <w:t>负责在验收前将运行稳定可靠的安装程序以及全部相关的设计、安装、测试、验收报告等文档汇集成册交付用户。</w:t>
      </w:r>
    </w:p>
    <w:p>
      <w:pPr>
        <w:pStyle w:val="null3"/>
        <w:ind w:firstLine="420"/>
      </w:pPr>
      <w:r>
        <w:rPr>
          <w:sz w:val="21"/>
          <w:b/>
        </w:rPr>
        <w:t>六、</w:t>
      </w:r>
      <w:r>
        <w:rPr>
          <w:sz w:val="21"/>
          <w:b/>
        </w:rPr>
        <w:t>培训方案</w:t>
      </w:r>
    </w:p>
    <w:p>
      <w:pPr>
        <w:pStyle w:val="null3"/>
        <w:ind w:firstLine="420"/>
      </w:pPr>
      <w:r>
        <w:rPr>
          <w:sz w:val="21"/>
        </w:rPr>
        <w:t>供应商须提供所涉及系统功能、用户操作、系统运维等相关培训。须充分考虑到采购人系统管理员和普通用户的需求，提出详细的系统培训方案。培训方案取得采购人同意后方可实施。所安排的培训教员应熟练掌握和使用所培训的技术内容，培训所产生的任何相关费用由</w:t>
      </w:r>
      <w:r>
        <w:rPr>
          <w:sz w:val="21"/>
        </w:rPr>
        <w:t>成交供应商</w:t>
      </w:r>
      <w:r>
        <w:rPr>
          <w:sz w:val="21"/>
        </w:rPr>
        <w:t>负责。</w:t>
      </w:r>
    </w:p>
    <w:p>
      <w:pPr>
        <w:pStyle w:val="null3"/>
        <w:ind w:firstLine="420"/>
      </w:pPr>
      <w:r>
        <w:rPr>
          <w:sz w:val="21"/>
          <w:b/>
        </w:rPr>
        <w:t>七、</w:t>
      </w:r>
      <w:r>
        <w:rPr>
          <w:sz w:val="21"/>
          <w:b/>
        </w:rPr>
        <w:t>质保期及售后服务要求</w:t>
      </w:r>
    </w:p>
    <w:p>
      <w:pPr>
        <w:pStyle w:val="null3"/>
        <w:ind w:right="45" w:firstLine="420"/>
        <w:jc w:val="both"/>
      </w:pPr>
      <w:r>
        <w:rPr>
          <w:sz w:val="21"/>
        </w:rPr>
        <w:t>1.本项目的主要设备在非人为因素造成故障的情况下质量保证期（简称“质保期”）为3年，质保期自项目通过</w:t>
      </w:r>
      <w:r>
        <w:rPr>
          <w:sz w:val="21"/>
        </w:rPr>
        <w:t>验收</w:t>
      </w:r>
      <w:r>
        <w:rPr>
          <w:sz w:val="21"/>
        </w:rPr>
        <w:t>之日起计算</w:t>
      </w:r>
      <w:r>
        <w:rPr>
          <w:sz w:val="21"/>
        </w:rPr>
        <w:t>，</w:t>
      </w:r>
      <w:r>
        <w:rPr>
          <w:sz w:val="21"/>
        </w:rPr>
        <w:t>质保期内</w:t>
      </w:r>
      <w:r>
        <w:rPr>
          <w:sz w:val="21"/>
        </w:rPr>
        <w:t>成交供应商</w:t>
      </w:r>
      <w:r>
        <w:rPr>
          <w:sz w:val="21"/>
        </w:rPr>
        <w:t>对所供</w:t>
      </w:r>
      <w:r>
        <w:rPr>
          <w:sz w:val="21"/>
        </w:rPr>
        <w:t>设备</w:t>
      </w:r>
      <w:r>
        <w:rPr>
          <w:sz w:val="21"/>
        </w:rPr>
        <w:t>实行免费包修、包换、包退、包维护保养。（如技术参数中有具体要求，按具体要求执行）</w:t>
      </w:r>
    </w:p>
    <w:p>
      <w:pPr>
        <w:pStyle w:val="null3"/>
        <w:ind w:right="45" w:firstLine="420"/>
        <w:jc w:val="both"/>
      </w:pPr>
      <w:r>
        <w:rPr>
          <w:sz w:val="21"/>
        </w:rPr>
        <w:t>2.</w:t>
      </w:r>
      <w:r>
        <w:rPr>
          <w:sz w:val="21"/>
        </w:rPr>
        <w:t>成交供应商</w:t>
      </w:r>
      <w:r>
        <w:rPr>
          <w:sz w:val="21"/>
        </w:rPr>
        <w:t>提供终身维修服务，在质保期外发生的质量问题，由</w:t>
      </w:r>
      <w:r>
        <w:rPr>
          <w:sz w:val="21"/>
        </w:rPr>
        <w:t>成交供应商</w:t>
      </w:r>
      <w:r>
        <w:rPr>
          <w:sz w:val="21"/>
        </w:rPr>
        <w:t>负责解决，采购人应支付相应的费用。提供</w:t>
      </w:r>
      <w:r>
        <w:rPr>
          <w:sz w:val="21"/>
        </w:rPr>
        <w:t>7×24小时的实时技术支持，1小时内响应，4小时内到达现场，48小时内处理完毕。若在48小时内仍未能有效解决，乙方须免费提供相同功能档次的设备予</w:t>
      </w:r>
      <w:r>
        <w:rPr>
          <w:sz w:val="21"/>
        </w:rPr>
        <w:t>采购人</w:t>
      </w:r>
      <w:r>
        <w:rPr>
          <w:sz w:val="21"/>
        </w:rPr>
        <w:t>临时使用。</w:t>
      </w:r>
    </w:p>
    <w:p>
      <w:pPr>
        <w:pStyle w:val="null3"/>
        <w:ind w:right="45" w:firstLine="420"/>
        <w:jc w:val="both"/>
      </w:pPr>
      <w:r>
        <w:rPr>
          <w:sz w:val="21"/>
        </w:rPr>
        <w:t>3.提供应用软件系统扩充，升级方面的技术支持服务。</w:t>
      </w:r>
    </w:p>
    <w:p>
      <w:pPr>
        <w:pStyle w:val="null3"/>
        <w:ind w:firstLine="420"/>
      </w:pPr>
      <w:r>
        <w:rPr>
          <w:sz w:val="21"/>
        </w:rPr>
        <w:t>4.在实施及免费维护期内，应满足所提供软件的功能模块客户化需求。</w:t>
      </w:r>
    </w:p>
    <w:p>
      <w:pPr>
        <w:pStyle w:val="null3"/>
        <w:ind w:firstLine="420"/>
      </w:pPr>
      <w:r>
        <w:rPr>
          <w:sz w:val="21"/>
          <w:b/>
        </w:rPr>
        <w:t>八、付款方式</w:t>
      </w:r>
    </w:p>
    <w:p>
      <w:pPr>
        <w:pStyle w:val="null3"/>
        <w:ind w:firstLine="420"/>
        <w:jc w:val="both"/>
      </w:pPr>
      <w:r>
        <w:rPr>
          <w:sz w:val="21"/>
        </w:rPr>
        <w:t>1.</w:t>
      </w:r>
      <w:r>
        <w:rPr>
          <w:sz w:val="21"/>
        </w:rPr>
        <w:t>成交供应商</w:t>
      </w:r>
      <w:r>
        <w:rPr>
          <w:sz w:val="21"/>
        </w:rPr>
        <w:t>与</w:t>
      </w:r>
      <w:r>
        <w:rPr>
          <w:sz w:val="21"/>
        </w:rPr>
        <w:t>采购人</w:t>
      </w:r>
      <w:r>
        <w:rPr>
          <w:sz w:val="21"/>
        </w:rPr>
        <w:t>签订合同生效后的</w:t>
      </w:r>
      <w:r>
        <w:rPr>
          <w:sz w:val="21"/>
        </w:rPr>
        <w:t>30个工作日内，</w:t>
      </w:r>
      <w:r>
        <w:rPr>
          <w:sz w:val="21"/>
        </w:rPr>
        <w:t>成交供应商</w:t>
      </w:r>
      <w:r>
        <w:rPr>
          <w:sz w:val="21"/>
        </w:rPr>
        <w:t>需向</w:t>
      </w:r>
      <w:r>
        <w:rPr>
          <w:sz w:val="21"/>
        </w:rPr>
        <w:t>采购人</w:t>
      </w:r>
      <w:r>
        <w:rPr>
          <w:sz w:val="21"/>
        </w:rPr>
        <w:t>提出正式申请，请求按照合同规定支付合同金额的</w:t>
      </w:r>
      <w:r>
        <w:rPr>
          <w:sz w:val="21"/>
        </w:rPr>
        <w:t>20</w:t>
      </w:r>
      <w:r>
        <w:rPr>
          <w:sz w:val="21"/>
        </w:rPr>
        <w:t>％作为进度款</w:t>
      </w:r>
      <w:r>
        <w:rPr>
          <w:sz w:val="21"/>
        </w:rPr>
        <w:t>（</w:t>
      </w:r>
      <w:r>
        <w:rPr>
          <w:sz w:val="21"/>
        </w:rPr>
        <w:t>每年度不超</w:t>
      </w:r>
      <w:r>
        <w:rPr>
          <w:sz w:val="21"/>
        </w:rPr>
        <w:t>80万元</w:t>
      </w:r>
      <w:r>
        <w:rPr>
          <w:sz w:val="21"/>
        </w:rPr>
        <w:t>）</w:t>
      </w:r>
      <w:r>
        <w:rPr>
          <w:sz w:val="21"/>
        </w:rPr>
        <w:t>。</w:t>
      </w:r>
    </w:p>
    <w:p>
      <w:pPr>
        <w:pStyle w:val="null3"/>
        <w:ind w:firstLine="420"/>
        <w:jc w:val="both"/>
      </w:pPr>
      <w:r>
        <w:rPr>
          <w:sz w:val="21"/>
        </w:rPr>
        <w:t>2.</w:t>
      </w:r>
      <w:r>
        <w:rPr>
          <w:sz w:val="21"/>
        </w:rPr>
        <w:t>项目通过综合验收，成交供应商</w:t>
      </w:r>
      <w:r>
        <w:rPr>
          <w:sz w:val="21"/>
        </w:rPr>
        <w:t>请求按照合同规定支付合同金额的</w:t>
      </w:r>
      <w:r>
        <w:rPr>
          <w:sz w:val="21"/>
        </w:rPr>
        <w:t>20％作为进度款</w:t>
      </w:r>
      <w:r>
        <w:rPr>
          <w:sz w:val="21"/>
        </w:rPr>
        <w:t>（</w:t>
      </w:r>
      <w:r>
        <w:rPr>
          <w:sz w:val="21"/>
        </w:rPr>
        <w:t>每年度不超</w:t>
      </w:r>
      <w:r>
        <w:rPr>
          <w:sz w:val="21"/>
        </w:rPr>
        <w:t>80万元</w:t>
      </w:r>
      <w:r>
        <w:rPr>
          <w:sz w:val="21"/>
        </w:rPr>
        <w:t>）</w:t>
      </w:r>
      <w:r>
        <w:rPr>
          <w:sz w:val="21"/>
        </w:rPr>
        <w:t>。</w:t>
      </w:r>
    </w:p>
    <w:p>
      <w:pPr>
        <w:pStyle w:val="null3"/>
        <w:ind w:firstLine="420"/>
        <w:jc w:val="both"/>
      </w:pPr>
      <w:r>
        <w:rPr>
          <w:sz w:val="21"/>
        </w:rPr>
        <w:t>3.</w:t>
      </w:r>
      <w:r>
        <w:rPr>
          <w:sz w:val="21"/>
        </w:rPr>
        <w:t>成交供应商</w:t>
      </w:r>
      <w:r>
        <w:rPr>
          <w:sz w:val="21"/>
        </w:rPr>
        <w:t>按照合同完成项目建设并通过综合验收，</w:t>
      </w:r>
      <w:r>
        <w:rPr>
          <w:sz w:val="21"/>
        </w:rPr>
        <w:t>成交供应商</w:t>
      </w:r>
      <w:r>
        <w:rPr>
          <w:sz w:val="21"/>
        </w:rPr>
        <w:t>需向</w:t>
      </w:r>
      <w:r>
        <w:rPr>
          <w:sz w:val="21"/>
        </w:rPr>
        <w:t>采购人</w:t>
      </w:r>
      <w:r>
        <w:rPr>
          <w:sz w:val="21"/>
        </w:rPr>
        <w:t>提出正式申请和服务期承诺函</w:t>
      </w:r>
      <w:r>
        <w:rPr>
          <w:sz w:val="21"/>
        </w:rPr>
        <w:t>，</w:t>
      </w:r>
      <w:r>
        <w:rPr>
          <w:sz w:val="21"/>
        </w:rPr>
        <w:t>结合考核情况，后续维护期（</w:t>
      </w:r>
      <w:r>
        <w:rPr>
          <w:sz w:val="21"/>
        </w:rPr>
        <w:t>3年）每年度支付合同20%作为作为项目进度款</w:t>
      </w:r>
      <w:r>
        <w:rPr>
          <w:sz w:val="21"/>
        </w:rPr>
        <w:t>（</w:t>
      </w:r>
      <w:r>
        <w:rPr>
          <w:sz w:val="21"/>
        </w:rPr>
        <w:t>每年度不超</w:t>
      </w:r>
      <w:r>
        <w:rPr>
          <w:sz w:val="21"/>
        </w:rPr>
        <w:t>80万元</w:t>
      </w:r>
      <w:r>
        <w:rPr>
          <w:sz w:val="21"/>
        </w:rPr>
        <w:t>）</w:t>
      </w:r>
      <w:r>
        <w:rPr>
          <w:sz w:val="21"/>
        </w:rPr>
        <w:t>。</w:t>
      </w:r>
    </w:p>
    <w:p>
      <w:pPr>
        <w:pStyle w:val="null3"/>
        <w:ind w:firstLine="420"/>
      </w:pPr>
      <w:r>
        <w:rPr>
          <w:sz w:val="21"/>
          <w:b/>
        </w:rPr>
        <w:t>九、</w:t>
      </w:r>
      <w:r>
        <w:rPr>
          <w:sz w:val="21"/>
          <w:b/>
        </w:rPr>
        <w:t>运营服务考核办法</w:t>
      </w:r>
      <w:r>
        <w:rPr>
          <w:sz w:val="21"/>
          <w:b/>
        </w:rPr>
        <w:t>（具体以本项目合同约定为准）</w:t>
      </w:r>
    </w:p>
    <w:p>
      <w:pPr>
        <w:pStyle w:val="null3"/>
        <w:ind w:firstLine="420"/>
      </w:pPr>
      <w:r>
        <w:rPr>
          <w:sz w:val="21"/>
        </w:rPr>
        <w:t>成交供应商在服务期内由采购人监督、考核和管理。为保证服务效果、服务质量，需要制定服务考核制度对质保服务工作进行监督、考核和管理，明确岗位职责、规范操作流程、提高维护管理水平。</w:t>
      </w:r>
    </w:p>
    <w:p>
      <w:pPr>
        <w:pStyle w:val="null3"/>
        <w:ind w:firstLine="420"/>
      </w:pPr>
      <w:r>
        <w:rPr>
          <w:sz w:val="21"/>
        </w:rPr>
        <w:t>运营服务考核制度采用倒扣分形式，满分</w:t>
      </w:r>
      <w:r>
        <w:rPr>
          <w:sz w:val="21"/>
        </w:rPr>
        <w:t>100分，80分合格，初步拟定每季度（3个月）考核一次。具体制度包括但不限于：</w:t>
      </w:r>
    </w:p>
    <w:p>
      <w:pPr>
        <w:pStyle w:val="null3"/>
        <w:ind w:firstLine="420"/>
      </w:pPr>
      <w:r>
        <w:rPr>
          <w:sz w:val="21"/>
        </w:rPr>
        <w:t>维护期间，采购人（用户）按如下服务绩效评估办法对成交供应商（服务提供机构）所提供的服务进行考核。</w:t>
      </w:r>
    </w:p>
    <w:p>
      <w:pPr>
        <w:pStyle w:val="null3"/>
        <w:ind w:firstLine="420"/>
      </w:pPr>
      <w:r>
        <w:rPr>
          <w:sz w:val="21"/>
        </w:rPr>
        <w:t>绩效考核分为运维指标考核、运维服务考核与安全服务考核三方面的考核内容：</w:t>
      </w:r>
    </w:p>
    <w:p>
      <w:pPr>
        <w:pStyle w:val="null3"/>
        <w:ind w:firstLine="420"/>
      </w:pPr>
      <w:r>
        <w:rPr>
          <w:sz w:val="21"/>
          <w:b/>
        </w:rPr>
        <w:t>服务考核评分</w:t>
      </w:r>
      <w:r>
        <w:rPr>
          <w:sz w:val="21"/>
          <w:b/>
        </w:rPr>
        <w:t>=运维指标考核评分*40%+运维服务考核评分*40%+安全服务评分*20%。</w:t>
      </w:r>
    </w:p>
    <w:p>
      <w:pPr>
        <w:pStyle w:val="null3"/>
        <w:ind w:firstLine="420"/>
      </w:pPr>
      <w:r>
        <w:rPr>
          <w:sz w:val="21"/>
        </w:rPr>
        <w:t>服务考核划分为五个等级，相关考核依据服务考核评分结果对应如下表格进行划定：</w:t>
      </w:r>
    </w:p>
    <w:tbl>
      <w:tblPr>
        <w:tblW w:w="0" w:type="auto"/>
        <w:tblBorders>
          <w:top w:val="none" w:color="000000" w:sz="4"/>
          <w:left w:val="none" w:color="000000" w:sz="4"/>
          <w:bottom w:val="none" w:color="000000" w:sz="4"/>
          <w:right w:val="none" w:color="000000" w:sz="4"/>
          <w:insideH w:val="none"/>
          <w:insideV w:val="none"/>
        </w:tblBorders>
      </w:tblPr>
      <w:tblGrid>
        <w:gridCol w:w="693"/>
        <w:gridCol w:w="2611"/>
        <w:gridCol w:w="1762"/>
        <w:gridCol w:w="3237"/>
      </w:tblGrid>
      <w:tr>
        <w:tc>
          <w:tcPr>
            <w:tcW w:type="dxa" w:w="693"/>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序号</w:t>
            </w:r>
          </w:p>
        </w:tc>
        <w:tc>
          <w:tcPr>
            <w:tcW w:type="dxa" w:w="2611"/>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服务考核评分</w:t>
            </w:r>
          </w:p>
        </w:tc>
        <w:tc>
          <w:tcPr>
            <w:tcW w:type="dxa" w:w="1762"/>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对应服务等级</w:t>
            </w:r>
          </w:p>
        </w:tc>
        <w:tc>
          <w:tcPr>
            <w:tcW w:type="dxa" w:w="3237"/>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绩效考核基数扣减额度</w:t>
            </w:r>
          </w:p>
        </w:tc>
      </w:tr>
      <w:tr>
        <w:tc>
          <w:tcPr>
            <w:tcW w:type="dxa" w:w="6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c>
          <w:tcPr>
            <w:tcW w:type="dxa" w:w="261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91分至100分</w:t>
            </w:r>
          </w:p>
        </w:tc>
        <w:tc>
          <w:tcPr>
            <w:tcW w:type="dxa" w:w="176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一级</w:t>
            </w:r>
          </w:p>
        </w:tc>
        <w:tc>
          <w:tcPr>
            <w:tcW w:type="dxa" w:w="323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无扣减</w:t>
            </w:r>
          </w:p>
        </w:tc>
      </w:tr>
      <w:tr>
        <w:tc>
          <w:tcPr>
            <w:tcW w:type="dxa" w:w="6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w:t>
            </w:r>
          </w:p>
        </w:tc>
        <w:tc>
          <w:tcPr>
            <w:tcW w:type="dxa" w:w="261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81分至90分</w:t>
            </w:r>
          </w:p>
        </w:tc>
        <w:tc>
          <w:tcPr>
            <w:tcW w:type="dxa" w:w="176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二级</w:t>
            </w:r>
          </w:p>
        </w:tc>
        <w:tc>
          <w:tcPr>
            <w:tcW w:type="dxa" w:w="323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5%</w:t>
            </w:r>
          </w:p>
        </w:tc>
      </w:tr>
      <w:tr>
        <w:tc>
          <w:tcPr>
            <w:tcW w:type="dxa" w:w="6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3</w:t>
            </w:r>
          </w:p>
        </w:tc>
        <w:tc>
          <w:tcPr>
            <w:tcW w:type="dxa" w:w="261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71分至80分</w:t>
            </w:r>
          </w:p>
        </w:tc>
        <w:tc>
          <w:tcPr>
            <w:tcW w:type="dxa" w:w="176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三级</w:t>
            </w:r>
          </w:p>
        </w:tc>
        <w:tc>
          <w:tcPr>
            <w:tcW w:type="dxa" w:w="323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10%</w:t>
            </w:r>
          </w:p>
        </w:tc>
      </w:tr>
      <w:tr>
        <w:tc>
          <w:tcPr>
            <w:tcW w:type="dxa" w:w="6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4</w:t>
            </w:r>
          </w:p>
        </w:tc>
        <w:tc>
          <w:tcPr>
            <w:tcW w:type="dxa" w:w="261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60分至70分</w:t>
            </w:r>
          </w:p>
        </w:tc>
        <w:tc>
          <w:tcPr>
            <w:tcW w:type="dxa" w:w="176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四级</w:t>
            </w:r>
          </w:p>
        </w:tc>
        <w:tc>
          <w:tcPr>
            <w:tcW w:type="dxa" w:w="323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20%</w:t>
            </w:r>
          </w:p>
        </w:tc>
      </w:tr>
      <w:tr>
        <w:tc>
          <w:tcPr>
            <w:tcW w:type="dxa" w:w="6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5</w:t>
            </w:r>
          </w:p>
        </w:tc>
        <w:tc>
          <w:tcPr>
            <w:tcW w:type="dxa" w:w="261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60分以下</w:t>
            </w:r>
          </w:p>
        </w:tc>
        <w:tc>
          <w:tcPr>
            <w:tcW w:type="dxa" w:w="176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五级</w:t>
            </w:r>
          </w:p>
        </w:tc>
        <w:tc>
          <w:tcPr>
            <w:tcW w:type="dxa" w:w="323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100%</w:t>
            </w:r>
          </w:p>
        </w:tc>
      </w:tr>
    </w:tbl>
    <w:p>
      <w:pPr>
        <w:pStyle w:val="null3"/>
        <w:ind w:firstLine="422"/>
      </w:pPr>
      <w:r>
        <w:rPr>
          <w:sz w:val="21"/>
          <w:b/>
        </w:rPr>
        <w:t>（一）运维指标考核评分</w:t>
      </w:r>
    </w:p>
    <w:p>
      <w:pPr>
        <w:pStyle w:val="null3"/>
        <w:ind w:firstLine="420"/>
      </w:pPr>
      <w:r>
        <w:rPr>
          <w:sz w:val="21"/>
        </w:rPr>
        <w:t>运维指标考核满分为</w:t>
      </w:r>
      <w:r>
        <w:rPr>
          <w:sz w:val="21"/>
        </w:rPr>
        <w:t>40分，扣完即止。</w:t>
      </w:r>
    </w:p>
    <w:p>
      <w:pPr>
        <w:pStyle w:val="null3"/>
        <w:ind w:firstLine="420"/>
      </w:pPr>
      <w:r>
        <w:rPr>
          <w:sz w:val="21"/>
        </w:rPr>
        <w:t>本项目对一类点的考核指标如下，运维指标考核不符合采购人要求可以作为解除运维合同的依据之一。</w:t>
      </w:r>
    </w:p>
    <w:tbl>
      <w:tblPr>
        <w:tblW w:w="0" w:type="auto"/>
        <w:tblBorders>
          <w:top w:val="none" w:color="000000" w:sz="4"/>
          <w:left w:val="none" w:color="000000" w:sz="4"/>
          <w:bottom w:val="none" w:color="000000" w:sz="4"/>
          <w:right w:val="none" w:color="000000" w:sz="4"/>
          <w:insideH w:val="none"/>
          <w:insideV w:val="none"/>
        </w:tblBorders>
      </w:tblPr>
      <w:tblGrid>
        <w:gridCol w:w="617"/>
        <w:gridCol w:w="2263"/>
        <w:gridCol w:w="1029"/>
        <w:gridCol w:w="2101"/>
        <w:gridCol w:w="2292"/>
      </w:tblGrid>
      <w:tr>
        <w:tc>
          <w:tcPr>
            <w:tcW w:type="dxa" w:w="617"/>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序号</w:t>
            </w:r>
          </w:p>
        </w:tc>
        <w:tc>
          <w:tcPr>
            <w:tcW w:type="dxa" w:w="2263"/>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考核指标</w:t>
            </w:r>
          </w:p>
        </w:tc>
        <w:tc>
          <w:tcPr>
            <w:tcW w:type="dxa" w:w="1029"/>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考核指标</w:t>
            </w:r>
          </w:p>
        </w:tc>
        <w:tc>
          <w:tcPr>
            <w:tcW w:type="dxa" w:w="2101"/>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考核指标</w:t>
            </w:r>
          </w:p>
        </w:tc>
        <w:tc>
          <w:tcPr>
            <w:tcW w:type="dxa" w:w="2292"/>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考核方式</w:t>
            </w:r>
          </w:p>
        </w:tc>
      </w:tr>
      <w:tr>
        <w:tc>
          <w:tcPr>
            <w:tcW w:type="dxa" w:w="61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c>
          <w:tcPr>
            <w:tcW w:type="dxa" w:w="226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月度平均摄像机在线率</w:t>
            </w:r>
          </w:p>
        </w:tc>
        <w:tc>
          <w:tcPr>
            <w:tcW w:type="dxa" w:w="102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≥95%</w:t>
            </w:r>
          </w:p>
        </w:tc>
        <w:tc>
          <w:tcPr>
            <w:tcW w:type="dxa" w:w="210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低于该数值扣</w:t>
            </w:r>
            <w:r>
              <w:rPr>
                <w:sz w:val="21"/>
              </w:rPr>
              <w:t>5分</w:t>
            </w:r>
          </w:p>
        </w:tc>
        <w:tc>
          <w:tcPr>
            <w:tcW w:type="dxa" w:w="229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视频联网共享平台中，在线摄像机数量与总摄像机数量的比例。</w:t>
            </w:r>
          </w:p>
        </w:tc>
      </w:tr>
      <w:tr>
        <w:tc>
          <w:tcPr>
            <w:tcW w:type="dxa" w:w="61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w:t>
            </w:r>
          </w:p>
        </w:tc>
        <w:tc>
          <w:tcPr>
            <w:tcW w:type="dxa" w:w="226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瞬时摄像机在线率</w:t>
            </w:r>
          </w:p>
        </w:tc>
        <w:tc>
          <w:tcPr>
            <w:tcW w:type="dxa" w:w="102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≥90%</w:t>
            </w:r>
          </w:p>
        </w:tc>
        <w:tc>
          <w:tcPr>
            <w:tcW w:type="dxa" w:w="210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低于该数值扣</w:t>
            </w:r>
            <w:r>
              <w:rPr>
                <w:sz w:val="21"/>
              </w:rPr>
              <w:t>1分/天</w:t>
            </w:r>
          </w:p>
        </w:tc>
        <w:tc>
          <w:tcPr>
            <w:tcW w:type="dxa" w:w="229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视频联网共享平台中，在线摄像机数量与总摄像机数量的比例。</w:t>
            </w:r>
          </w:p>
        </w:tc>
      </w:tr>
      <w:tr>
        <w:tc>
          <w:tcPr>
            <w:tcW w:type="dxa" w:w="61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3</w:t>
            </w:r>
          </w:p>
        </w:tc>
        <w:tc>
          <w:tcPr>
            <w:tcW w:type="dxa" w:w="226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视频录像的完整率</w:t>
            </w:r>
          </w:p>
        </w:tc>
        <w:tc>
          <w:tcPr>
            <w:tcW w:type="dxa" w:w="102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≥95%</w:t>
            </w:r>
          </w:p>
        </w:tc>
        <w:tc>
          <w:tcPr>
            <w:tcW w:type="dxa" w:w="210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低于该数值扣</w:t>
            </w:r>
            <w:r>
              <w:rPr>
                <w:sz w:val="21"/>
              </w:rPr>
              <w:t>5分</w:t>
            </w:r>
          </w:p>
        </w:tc>
        <w:tc>
          <w:tcPr>
            <w:tcW w:type="dxa" w:w="229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参照省厅、市局考核要求。</w:t>
            </w:r>
          </w:p>
        </w:tc>
      </w:tr>
      <w:tr>
        <w:tc>
          <w:tcPr>
            <w:tcW w:type="dxa" w:w="61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4</w:t>
            </w:r>
          </w:p>
        </w:tc>
        <w:tc>
          <w:tcPr>
            <w:tcW w:type="dxa" w:w="226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视频质量完好率</w:t>
            </w:r>
          </w:p>
        </w:tc>
        <w:tc>
          <w:tcPr>
            <w:tcW w:type="dxa" w:w="102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≥95%</w:t>
            </w:r>
          </w:p>
        </w:tc>
        <w:tc>
          <w:tcPr>
            <w:tcW w:type="dxa" w:w="210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低于该数值扣</w:t>
            </w:r>
            <w:r>
              <w:rPr>
                <w:sz w:val="21"/>
              </w:rPr>
              <w:t>5分</w:t>
            </w:r>
          </w:p>
        </w:tc>
        <w:tc>
          <w:tcPr>
            <w:tcW w:type="dxa" w:w="229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参照省厅、市局考核要求。</w:t>
            </w:r>
          </w:p>
        </w:tc>
      </w:tr>
      <w:tr>
        <w:tc>
          <w:tcPr>
            <w:tcW w:type="dxa" w:w="61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5</w:t>
            </w:r>
          </w:p>
        </w:tc>
        <w:tc>
          <w:tcPr>
            <w:tcW w:type="dxa" w:w="226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图片质量完好率</w:t>
            </w:r>
          </w:p>
        </w:tc>
        <w:tc>
          <w:tcPr>
            <w:tcW w:type="dxa" w:w="102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≥95%</w:t>
            </w:r>
          </w:p>
        </w:tc>
        <w:tc>
          <w:tcPr>
            <w:tcW w:type="dxa" w:w="210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低于该数值扣</w:t>
            </w:r>
            <w:r>
              <w:rPr>
                <w:sz w:val="21"/>
              </w:rPr>
              <w:t>5分</w:t>
            </w:r>
          </w:p>
        </w:tc>
        <w:tc>
          <w:tcPr>
            <w:tcW w:type="dxa" w:w="229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参照省厅、市局考核要求。</w:t>
            </w:r>
          </w:p>
        </w:tc>
      </w:tr>
      <w:tr>
        <w:tc>
          <w:tcPr>
            <w:tcW w:type="dxa" w:w="61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6</w:t>
            </w:r>
          </w:p>
        </w:tc>
        <w:tc>
          <w:tcPr>
            <w:tcW w:type="dxa" w:w="226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时钟准确率</w:t>
            </w:r>
          </w:p>
        </w:tc>
        <w:tc>
          <w:tcPr>
            <w:tcW w:type="dxa" w:w="102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≥98%</w:t>
            </w:r>
          </w:p>
        </w:tc>
        <w:tc>
          <w:tcPr>
            <w:tcW w:type="dxa" w:w="210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低于该数值扣</w:t>
            </w:r>
            <w:r>
              <w:rPr>
                <w:sz w:val="21"/>
              </w:rPr>
              <w:t>5分</w:t>
            </w:r>
          </w:p>
        </w:tc>
        <w:tc>
          <w:tcPr>
            <w:tcW w:type="dxa" w:w="229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视频共享联网系统中设备时钟信息，准确摄像机数量与总摄像机数量的比例。</w:t>
            </w:r>
          </w:p>
        </w:tc>
      </w:tr>
      <w:tr>
        <w:tc>
          <w:tcPr>
            <w:tcW w:type="dxa" w:w="61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7</w:t>
            </w:r>
          </w:p>
        </w:tc>
        <w:tc>
          <w:tcPr>
            <w:tcW w:type="dxa" w:w="226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经纬度准确率</w:t>
            </w:r>
          </w:p>
        </w:tc>
        <w:tc>
          <w:tcPr>
            <w:tcW w:type="dxa" w:w="102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≥98%</w:t>
            </w:r>
          </w:p>
        </w:tc>
        <w:tc>
          <w:tcPr>
            <w:tcW w:type="dxa" w:w="210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低于该数值扣</w:t>
            </w:r>
            <w:r>
              <w:rPr>
                <w:sz w:val="21"/>
              </w:rPr>
              <w:t>5分</w:t>
            </w:r>
          </w:p>
        </w:tc>
        <w:tc>
          <w:tcPr>
            <w:tcW w:type="dxa" w:w="229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一机一档系统中设备经纬度信息，准确摄像机数量与总摄像机数量的比例。</w:t>
            </w:r>
          </w:p>
        </w:tc>
      </w:tr>
      <w:tr>
        <w:tc>
          <w:tcPr>
            <w:tcW w:type="dxa" w:w="61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8</w:t>
            </w:r>
          </w:p>
        </w:tc>
        <w:tc>
          <w:tcPr>
            <w:tcW w:type="dxa" w:w="226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车辆图像捕获率</w:t>
            </w:r>
          </w:p>
        </w:tc>
        <w:tc>
          <w:tcPr>
            <w:tcW w:type="dxa" w:w="102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≥98%</w:t>
            </w:r>
          </w:p>
        </w:tc>
        <w:tc>
          <w:tcPr>
            <w:tcW w:type="dxa" w:w="210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低于该数值扣</w:t>
            </w:r>
            <w:r>
              <w:rPr>
                <w:sz w:val="21"/>
              </w:rPr>
              <w:t>5分/设备</w:t>
            </w:r>
          </w:p>
        </w:tc>
        <w:tc>
          <w:tcPr>
            <w:tcW w:type="dxa" w:w="229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同一时间段内，视图库中有效车辆数与视频流中实际通过车辆数的百分比（月度抽检</w:t>
            </w:r>
            <w:r>
              <w:rPr>
                <w:sz w:val="21"/>
              </w:rPr>
              <w:t>3个设备，时间≥30s）。</w:t>
            </w:r>
          </w:p>
        </w:tc>
      </w:tr>
      <w:tr>
        <w:tc>
          <w:tcPr>
            <w:tcW w:type="dxa" w:w="61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9</w:t>
            </w:r>
          </w:p>
        </w:tc>
        <w:tc>
          <w:tcPr>
            <w:tcW w:type="dxa" w:w="226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人脸图像捕获率</w:t>
            </w:r>
          </w:p>
        </w:tc>
        <w:tc>
          <w:tcPr>
            <w:tcW w:type="dxa" w:w="102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≥98%</w:t>
            </w:r>
          </w:p>
        </w:tc>
        <w:tc>
          <w:tcPr>
            <w:tcW w:type="dxa" w:w="210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低于该数值扣</w:t>
            </w:r>
            <w:r>
              <w:rPr>
                <w:sz w:val="21"/>
              </w:rPr>
              <w:t>5分/设备</w:t>
            </w:r>
          </w:p>
        </w:tc>
        <w:tc>
          <w:tcPr>
            <w:tcW w:type="dxa" w:w="229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同一时间段内，视图库中有效人脸数与视频流中理论通过人脸数的百分比（月度抽检</w:t>
            </w:r>
            <w:r>
              <w:rPr>
                <w:sz w:val="21"/>
              </w:rPr>
              <w:t>3个设备，时间≥30s）。</w:t>
            </w:r>
          </w:p>
        </w:tc>
      </w:tr>
      <w:tr>
        <w:tc>
          <w:tcPr>
            <w:tcW w:type="dxa" w:w="61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10</w:t>
            </w:r>
          </w:p>
        </w:tc>
        <w:tc>
          <w:tcPr>
            <w:tcW w:type="dxa" w:w="226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人体图像捕获率</w:t>
            </w:r>
          </w:p>
        </w:tc>
        <w:tc>
          <w:tcPr>
            <w:tcW w:type="dxa" w:w="102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≥98%</w:t>
            </w:r>
          </w:p>
        </w:tc>
        <w:tc>
          <w:tcPr>
            <w:tcW w:type="dxa" w:w="210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低于该数值扣</w:t>
            </w:r>
            <w:r>
              <w:rPr>
                <w:sz w:val="21"/>
              </w:rPr>
              <w:t>5分/设备</w:t>
            </w:r>
          </w:p>
        </w:tc>
        <w:tc>
          <w:tcPr>
            <w:tcW w:type="dxa" w:w="229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同一时间段内，视图库中有效人体数与视频流中理论通过人体数的百分比（月度抽检</w:t>
            </w:r>
            <w:r>
              <w:rPr>
                <w:sz w:val="21"/>
              </w:rPr>
              <w:t>3个设备，时间≥30s）。</w:t>
            </w:r>
          </w:p>
        </w:tc>
      </w:tr>
      <w:tr>
        <w:tc>
          <w:tcPr>
            <w:tcW w:type="dxa" w:w="61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11</w:t>
            </w:r>
          </w:p>
        </w:tc>
        <w:tc>
          <w:tcPr>
            <w:tcW w:type="dxa" w:w="226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非机动车图像捕获率</w:t>
            </w:r>
          </w:p>
        </w:tc>
        <w:tc>
          <w:tcPr>
            <w:tcW w:type="dxa" w:w="102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≥98%</w:t>
            </w:r>
          </w:p>
        </w:tc>
        <w:tc>
          <w:tcPr>
            <w:tcW w:type="dxa" w:w="210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低于该数值扣</w:t>
            </w:r>
            <w:r>
              <w:rPr>
                <w:sz w:val="21"/>
              </w:rPr>
              <w:t>5分/设备</w:t>
            </w:r>
          </w:p>
        </w:tc>
        <w:tc>
          <w:tcPr>
            <w:tcW w:type="dxa" w:w="229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同一时间段内，视图库中有效非机动车数与视频流中理论通过非机动车数的百分比（月度抽检</w:t>
            </w:r>
            <w:r>
              <w:rPr>
                <w:sz w:val="21"/>
              </w:rPr>
              <w:t>3个设备，时间≥30s）。</w:t>
            </w:r>
          </w:p>
        </w:tc>
      </w:tr>
      <w:tr>
        <w:tc>
          <w:tcPr>
            <w:tcW w:type="dxa" w:w="61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12</w:t>
            </w:r>
          </w:p>
        </w:tc>
        <w:tc>
          <w:tcPr>
            <w:tcW w:type="dxa" w:w="226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机箱告警数据准确率</w:t>
            </w:r>
          </w:p>
        </w:tc>
        <w:tc>
          <w:tcPr>
            <w:tcW w:type="dxa" w:w="102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≥80%</w:t>
            </w:r>
          </w:p>
        </w:tc>
        <w:tc>
          <w:tcPr>
            <w:tcW w:type="dxa" w:w="210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低于该数值扣</w:t>
            </w:r>
            <w:r>
              <w:rPr>
                <w:sz w:val="21"/>
              </w:rPr>
              <w:t>5分</w:t>
            </w:r>
          </w:p>
        </w:tc>
        <w:tc>
          <w:tcPr>
            <w:tcW w:type="dxa" w:w="229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市局视频智能运维管理系统或统一运维平台，告警数据现场确认情况与月度故障告警总数的比例。</w:t>
            </w:r>
          </w:p>
        </w:tc>
      </w:tr>
    </w:tbl>
    <w:p>
      <w:pPr>
        <w:pStyle w:val="null3"/>
        <w:ind w:firstLine="420"/>
      </w:pPr>
      <w:r>
        <w:rPr>
          <w:sz w:val="21"/>
        </w:rPr>
        <w:t>运维指标根据广东省公安科信部门信息化建设与运维管理考核指标及测评方法和市情报中心考核标准，成交供应商需满足采购人进行动态调整。</w:t>
      </w:r>
    </w:p>
    <w:p>
      <w:pPr>
        <w:pStyle w:val="null3"/>
        <w:ind w:firstLine="422"/>
      </w:pPr>
      <w:r>
        <w:rPr>
          <w:sz w:val="21"/>
          <w:b/>
        </w:rPr>
        <w:t>（二）运维服务考核评分</w:t>
      </w:r>
    </w:p>
    <w:p>
      <w:pPr>
        <w:pStyle w:val="null3"/>
        <w:ind w:firstLine="420"/>
      </w:pPr>
      <w:r>
        <w:rPr>
          <w:sz w:val="21"/>
        </w:rPr>
        <w:t>运维服务考核评分满分为</w:t>
      </w:r>
      <w:r>
        <w:rPr>
          <w:sz w:val="21"/>
        </w:rPr>
        <w:t>40分，扣完即止。</w:t>
      </w:r>
    </w:p>
    <w:p>
      <w:pPr>
        <w:pStyle w:val="null3"/>
        <w:ind w:firstLine="420"/>
      </w:pPr>
      <w:r>
        <w:rPr>
          <w:sz w:val="21"/>
        </w:rPr>
        <w:t>1.考核评分标准</w:t>
      </w:r>
    </w:p>
    <w:p>
      <w:pPr>
        <w:pStyle w:val="null3"/>
        <w:ind w:firstLine="420"/>
      </w:pPr>
      <w:r>
        <w:rPr>
          <w:sz w:val="21"/>
        </w:rPr>
        <w:t>考核评分分为重大安保期间考核标准和一般时间考核标准具体运维服务考核如下所示：</w:t>
      </w:r>
    </w:p>
    <w:tbl>
      <w:tblPr>
        <w:tblW w:w="0" w:type="auto"/>
        <w:tblInd w:type="dxa" w:w="90"/>
        <w:tblBorders>
          <w:top w:val="none" w:color="000000" w:sz="4"/>
          <w:left w:val="none" w:color="000000" w:sz="4"/>
          <w:bottom w:val="none" w:color="000000" w:sz="4"/>
          <w:right w:val="none" w:color="000000" w:sz="4"/>
          <w:insideH w:val="none"/>
          <w:insideV w:val="none"/>
        </w:tblBorders>
      </w:tblPr>
      <w:tblGrid>
        <w:gridCol w:w="683"/>
        <w:gridCol w:w="1053"/>
        <w:gridCol w:w="1686"/>
        <w:gridCol w:w="4881"/>
      </w:tblGrid>
      <w:tr>
        <w:tc>
          <w:tcPr>
            <w:tcW w:type="dxa" w:w="683"/>
            <w:tcBorders>
              <w:top w:val="singl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sz w:val="21"/>
                <w:b/>
              </w:rPr>
              <w:t>序号</w:t>
            </w:r>
          </w:p>
        </w:tc>
        <w:tc>
          <w:tcPr>
            <w:tcW w:type="dxa" w:w="1053"/>
            <w:tcBorders>
              <w:top w:val="single" w:color="000000" w:sz="4"/>
              <w:left w:val="none" w:color="000000" w:sz="4"/>
              <w:bottom w:val="single" w:color="000000" w:sz="4"/>
              <w:right w:val="single" w:color="000000" w:sz="4"/>
            </w:tcBorders>
            <w:tcMar>
              <w:top w:type="dxa" w:w="15"/>
              <w:left w:type="dxa" w:w="15"/>
              <w:bottom w:type="dxa" w:w="0"/>
              <w:right w:type="dxa" w:w="15"/>
            </w:tcMar>
            <w:vAlign w:val="top"/>
          </w:tcPr>
          <w:p>
            <w:pPr>
              <w:pStyle w:val="null3"/>
              <w:jc w:val="center"/>
            </w:pPr>
            <w:r>
              <w:rPr>
                <w:sz w:val="21"/>
                <w:b/>
              </w:rPr>
              <w:t>类别</w:t>
            </w:r>
          </w:p>
        </w:tc>
        <w:tc>
          <w:tcPr>
            <w:tcW w:type="dxa" w:w="1686"/>
            <w:tcBorders>
              <w:top w:val="single" w:color="000000" w:sz="4"/>
              <w:left w:val="none" w:color="000000" w:sz="4"/>
              <w:bottom w:val="single" w:color="000000" w:sz="4"/>
              <w:right w:val="single" w:color="000000" w:sz="4"/>
            </w:tcBorders>
            <w:tcMar>
              <w:top w:type="dxa" w:w="15"/>
              <w:left w:type="dxa" w:w="15"/>
              <w:bottom w:type="dxa" w:w="0"/>
              <w:right w:type="dxa" w:w="15"/>
            </w:tcMar>
            <w:vAlign w:val="top"/>
          </w:tcPr>
          <w:p>
            <w:pPr>
              <w:pStyle w:val="null3"/>
              <w:jc w:val="center"/>
            </w:pPr>
            <w:r>
              <w:rPr>
                <w:sz w:val="21"/>
                <w:b/>
              </w:rPr>
              <w:t>名称</w:t>
            </w:r>
          </w:p>
        </w:tc>
        <w:tc>
          <w:tcPr>
            <w:tcW w:type="dxa" w:w="4881"/>
            <w:tcBorders>
              <w:top w:val="single" w:color="000000" w:sz="4"/>
              <w:left w:val="none" w:color="000000" w:sz="4"/>
              <w:bottom w:val="single" w:color="000000" w:sz="4"/>
              <w:right w:val="single" w:color="000000" w:sz="4"/>
            </w:tcBorders>
            <w:tcMar>
              <w:top w:type="dxa" w:w="15"/>
              <w:left w:type="dxa" w:w="15"/>
              <w:bottom w:type="dxa" w:w="0"/>
              <w:right w:type="dxa" w:w="15"/>
            </w:tcMar>
            <w:vAlign w:val="top"/>
          </w:tcPr>
          <w:p>
            <w:pPr>
              <w:pStyle w:val="null3"/>
              <w:jc w:val="center"/>
            </w:pPr>
            <w:r>
              <w:rPr>
                <w:sz w:val="21"/>
                <w:b/>
              </w:rPr>
              <w:t>详细内容</w:t>
            </w:r>
          </w:p>
        </w:tc>
      </w:tr>
      <w:tr>
        <w:tc>
          <w:tcPr>
            <w:tcW w:type="dxa" w:w="68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sz w:val="21"/>
              </w:rPr>
              <w:t>1</w:t>
            </w:r>
          </w:p>
        </w:tc>
        <w:tc>
          <w:tcPr>
            <w:tcW w:type="dxa" w:w="1053"/>
            <w:vMerge w:val="restart"/>
            <w:tcBorders>
              <w:top w:val="none" w:color="000000" w:sz="4"/>
              <w:left w:val="none" w:color="000000" w:sz="4"/>
              <w:bottom w:val="single" w:color="000000" w:sz="4"/>
              <w:right w:val="single" w:color="000000" w:sz="4"/>
            </w:tcBorders>
            <w:tcMar>
              <w:top w:type="dxa" w:w="15"/>
              <w:left w:type="dxa" w:w="15"/>
              <w:bottom w:type="dxa" w:w="0"/>
              <w:right w:type="dxa" w:w="15"/>
            </w:tcMar>
            <w:vAlign w:val="top"/>
          </w:tcPr>
          <w:p>
            <w:pPr>
              <w:pStyle w:val="null3"/>
              <w:jc w:val="center"/>
            </w:pPr>
            <w:r>
              <w:rPr>
                <w:sz w:val="21"/>
              </w:rPr>
              <w:t>响应式服务</w:t>
            </w:r>
          </w:p>
        </w:tc>
        <w:tc>
          <w:tcPr>
            <w:tcW w:type="dxa" w:w="1686"/>
            <w:vMerge w:val="restart"/>
            <w:tcBorders>
              <w:top w:val="none" w:color="000000" w:sz="4"/>
              <w:left w:val="none" w:color="000000" w:sz="4"/>
              <w:bottom w:val="single" w:color="000000" w:sz="4"/>
              <w:right w:val="single" w:color="000000" w:sz="4"/>
            </w:tcBorders>
            <w:tcMar>
              <w:top w:type="dxa" w:w="15"/>
              <w:left w:type="dxa" w:w="15"/>
              <w:bottom w:type="dxa" w:w="0"/>
              <w:right w:type="dxa" w:w="15"/>
            </w:tcMar>
            <w:vAlign w:val="top"/>
          </w:tcPr>
          <w:p>
            <w:pPr>
              <w:pStyle w:val="null3"/>
              <w:jc w:val="center"/>
            </w:pPr>
            <w:r>
              <w:rPr>
                <w:sz w:val="21"/>
              </w:rPr>
              <w:t>故障响应时间</w:t>
            </w:r>
          </w:p>
        </w:tc>
        <w:tc>
          <w:tcPr>
            <w:tcW w:type="dxa" w:w="4881"/>
            <w:tcBorders>
              <w:top w:val="none" w:color="000000" w:sz="4"/>
              <w:left w:val="none" w:color="000000" w:sz="4"/>
              <w:bottom w:val="single" w:color="000000" w:sz="4"/>
              <w:right w:val="single" w:color="000000" w:sz="4"/>
            </w:tcBorders>
            <w:tcMar>
              <w:top w:type="dxa" w:w="15"/>
              <w:left w:type="dxa" w:w="15"/>
              <w:bottom w:type="dxa" w:w="0"/>
              <w:right w:type="dxa" w:w="15"/>
            </w:tcMar>
            <w:vAlign w:val="top"/>
          </w:tcPr>
          <w:p>
            <w:pPr>
              <w:pStyle w:val="null3"/>
              <w:jc w:val="both"/>
            </w:pPr>
            <w:r>
              <w:rPr>
                <w:sz w:val="21"/>
              </w:rPr>
              <w:t>一般时间发生故障</w:t>
            </w:r>
            <w:r>
              <w:rPr>
                <w:sz w:val="21"/>
              </w:rPr>
              <w:t>：</w:t>
            </w:r>
            <w:r>
              <w:rPr>
                <w:sz w:val="21"/>
              </w:rPr>
              <w:t>5分钟内未响应，一次扣5分</w:t>
            </w:r>
            <w:r>
              <w:rPr>
                <w:sz w:val="21"/>
              </w:rPr>
              <w:t>。</w:t>
            </w:r>
          </w:p>
        </w:tc>
      </w:tr>
      <w:tr>
        <w:tc>
          <w:tcPr>
            <w:tcW w:type="dxa" w:w="68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sz w:val="21"/>
              </w:rPr>
              <w:t>2</w:t>
            </w:r>
          </w:p>
        </w:tc>
        <w:tc>
          <w:tcPr>
            <w:tcW w:type="dxa" w:w="1053"/>
            <w:vMerge/>
            <w:tcBorders>
              <w:top w:val="none" w:color="000000" w:sz="4"/>
              <w:left w:val="none" w:color="000000" w:sz="4"/>
              <w:bottom w:val="single" w:color="000000" w:sz="4"/>
              <w:right w:val="single" w:color="000000" w:sz="4"/>
            </w:tcBorders>
          </w:tcPr>
          <w:p/>
        </w:tc>
        <w:tc>
          <w:tcPr>
            <w:tcW w:type="dxa" w:w="1686"/>
            <w:vMerge/>
            <w:tcBorders>
              <w:top w:val="none" w:color="000000" w:sz="4"/>
              <w:left w:val="none" w:color="000000" w:sz="4"/>
              <w:bottom w:val="single" w:color="000000" w:sz="4"/>
              <w:right w:val="single" w:color="000000" w:sz="4"/>
            </w:tcBorders>
          </w:tcPr>
          <w:p/>
        </w:tc>
        <w:tc>
          <w:tcPr>
            <w:tcW w:type="dxa" w:w="4881"/>
            <w:tcBorders>
              <w:top w:val="none" w:color="000000" w:sz="4"/>
              <w:left w:val="none" w:color="000000" w:sz="4"/>
              <w:bottom w:val="single" w:color="000000" w:sz="4"/>
              <w:right w:val="single" w:color="000000" w:sz="4"/>
            </w:tcBorders>
            <w:tcMar>
              <w:top w:type="dxa" w:w="15"/>
              <w:left w:type="dxa" w:w="15"/>
              <w:bottom w:type="dxa" w:w="0"/>
              <w:right w:type="dxa" w:w="15"/>
            </w:tcMar>
            <w:vAlign w:val="top"/>
          </w:tcPr>
          <w:p>
            <w:pPr>
              <w:pStyle w:val="null3"/>
              <w:jc w:val="both"/>
            </w:pPr>
            <w:r>
              <w:rPr>
                <w:sz w:val="21"/>
              </w:rPr>
              <w:t>重大安保期间发生故障</w:t>
            </w:r>
            <w:r>
              <w:rPr>
                <w:sz w:val="21"/>
              </w:rPr>
              <w:t>：未立即响应，一次扣</w:t>
            </w:r>
            <w:r>
              <w:rPr>
                <w:sz w:val="21"/>
              </w:rPr>
              <w:t>10分</w:t>
            </w:r>
            <w:r>
              <w:rPr>
                <w:sz w:val="21"/>
              </w:rPr>
              <w:t>。</w:t>
            </w:r>
          </w:p>
        </w:tc>
      </w:tr>
      <w:tr>
        <w:tc>
          <w:tcPr>
            <w:tcW w:type="dxa" w:w="68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sz w:val="21"/>
              </w:rPr>
              <w:t>3</w:t>
            </w:r>
          </w:p>
        </w:tc>
        <w:tc>
          <w:tcPr>
            <w:tcW w:type="dxa" w:w="1053"/>
            <w:vMerge/>
            <w:tcBorders>
              <w:top w:val="none" w:color="000000" w:sz="4"/>
              <w:left w:val="none" w:color="000000" w:sz="4"/>
              <w:bottom w:val="single" w:color="000000" w:sz="4"/>
              <w:right w:val="single" w:color="000000" w:sz="4"/>
            </w:tcBorders>
          </w:tcPr>
          <w:p/>
        </w:tc>
        <w:tc>
          <w:tcPr>
            <w:tcW w:type="dxa" w:w="1686"/>
            <w:vMerge w:val="restart"/>
            <w:tcBorders>
              <w:top w:val="none" w:color="000000" w:sz="4"/>
              <w:left w:val="none" w:color="000000" w:sz="4"/>
              <w:bottom w:val="single" w:color="000000" w:sz="4"/>
              <w:right w:val="single" w:color="000000" w:sz="4"/>
            </w:tcBorders>
            <w:tcMar>
              <w:top w:type="dxa" w:w="15"/>
              <w:left w:type="dxa" w:w="15"/>
              <w:bottom w:type="dxa" w:w="0"/>
              <w:right w:type="dxa" w:w="15"/>
            </w:tcMar>
            <w:vAlign w:val="top"/>
          </w:tcPr>
          <w:p>
            <w:pPr>
              <w:pStyle w:val="null3"/>
              <w:jc w:val="center"/>
            </w:pPr>
            <w:r>
              <w:rPr>
                <w:sz w:val="21"/>
              </w:rPr>
              <w:t>正常</w:t>
            </w:r>
            <w:r>
              <w:rPr>
                <w:sz w:val="21"/>
              </w:rPr>
              <w:t>保</w:t>
            </w:r>
            <w:r>
              <w:rPr>
                <w:sz w:val="21"/>
              </w:rPr>
              <w:t>障维护</w:t>
            </w:r>
          </w:p>
        </w:tc>
        <w:tc>
          <w:tcPr>
            <w:tcW w:type="dxa" w:w="4881"/>
            <w:tcBorders>
              <w:top w:val="none" w:color="000000" w:sz="4"/>
              <w:left w:val="none" w:color="000000" w:sz="4"/>
              <w:bottom w:val="single" w:color="000000" w:sz="4"/>
              <w:right w:val="single" w:color="000000" w:sz="4"/>
            </w:tcBorders>
            <w:tcMar>
              <w:top w:type="dxa" w:w="15"/>
              <w:left w:type="dxa" w:w="15"/>
              <w:bottom w:type="dxa" w:w="0"/>
              <w:right w:type="dxa" w:w="15"/>
            </w:tcMar>
            <w:vAlign w:val="top"/>
          </w:tcPr>
          <w:p>
            <w:pPr>
              <w:pStyle w:val="null3"/>
              <w:jc w:val="both"/>
            </w:pPr>
            <w:r>
              <w:rPr>
                <w:sz w:val="21"/>
              </w:rPr>
              <w:t>一般时间保障维护</w:t>
            </w:r>
            <w:r>
              <w:rPr>
                <w:sz w:val="21"/>
              </w:rPr>
              <w:t>：响应后</w:t>
            </w:r>
            <w:r>
              <w:rPr>
                <w:sz w:val="21"/>
              </w:rPr>
              <w:t>1小时内发出临时解决方案。超过时间一次扣1分，之后按1分/小时累加</w:t>
            </w:r>
            <w:r>
              <w:rPr>
                <w:sz w:val="21"/>
              </w:rPr>
              <w:t>。</w:t>
            </w:r>
          </w:p>
        </w:tc>
      </w:tr>
      <w:tr>
        <w:tc>
          <w:tcPr>
            <w:tcW w:type="dxa" w:w="68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sz w:val="21"/>
              </w:rPr>
              <w:t>4</w:t>
            </w:r>
          </w:p>
        </w:tc>
        <w:tc>
          <w:tcPr>
            <w:tcW w:type="dxa" w:w="1053"/>
            <w:vMerge/>
            <w:tcBorders>
              <w:top w:val="none" w:color="000000" w:sz="4"/>
              <w:left w:val="none" w:color="000000" w:sz="4"/>
              <w:bottom w:val="single" w:color="000000" w:sz="4"/>
              <w:right w:val="single" w:color="000000" w:sz="4"/>
            </w:tcBorders>
          </w:tcPr>
          <w:p/>
        </w:tc>
        <w:tc>
          <w:tcPr>
            <w:tcW w:type="dxa" w:w="1686"/>
            <w:vMerge/>
            <w:tcBorders>
              <w:top w:val="none" w:color="000000" w:sz="4"/>
              <w:left w:val="none" w:color="000000" w:sz="4"/>
              <w:bottom w:val="single" w:color="000000" w:sz="4"/>
              <w:right w:val="single" w:color="000000" w:sz="4"/>
            </w:tcBorders>
          </w:tcPr>
          <w:p/>
        </w:tc>
        <w:tc>
          <w:tcPr>
            <w:tcW w:type="dxa" w:w="4881"/>
            <w:tcBorders>
              <w:top w:val="none" w:color="000000" w:sz="4"/>
              <w:left w:val="none" w:color="000000" w:sz="4"/>
              <w:bottom w:val="single" w:color="000000" w:sz="4"/>
              <w:right w:val="single" w:color="000000" w:sz="4"/>
            </w:tcBorders>
            <w:tcMar>
              <w:top w:type="dxa" w:w="15"/>
              <w:left w:type="dxa" w:w="15"/>
              <w:bottom w:type="dxa" w:w="0"/>
              <w:right w:type="dxa" w:w="15"/>
            </w:tcMar>
            <w:vAlign w:val="top"/>
          </w:tcPr>
          <w:p>
            <w:pPr>
              <w:pStyle w:val="null3"/>
              <w:jc w:val="both"/>
            </w:pPr>
            <w:r>
              <w:rPr>
                <w:sz w:val="21"/>
              </w:rPr>
              <w:t>重大安保期间保障维护</w:t>
            </w:r>
            <w:r>
              <w:rPr>
                <w:sz w:val="21"/>
              </w:rPr>
              <w:t>：</w:t>
            </w:r>
            <w:r>
              <w:rPr>
                <w:sz w:val="21"/>
              </w:rPr>
              <w:t>20分钟发出临时解决方案。超过时间一次扣3分，之后按1分/小时累加</w:t>
            </w:r>
            <w:r>
              <w:rPr>
                <w:sz w:val="21"/>
              </w:rPr>
              <w:t>。</w:t>
            </w:r>
          </w:p>
        </w:tc>
      </w:tr>
      <w:tr>
        <w:tc>
          <w:tcPr>
            <w:tcW w:type="dxa" w:w="68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sz w:val="21"/>
              </w:rPr>
              <w:t>5</w:t>
            </w:r>
          </w:p>
        </w:tc>
        <w:tc>
          <w:tcPr>
            <w:tcW w:type="dxa" w:w="1053"/>
            <w:vMerge/>
            <w:tcBorders>
              <w:top w:val="none" w:color="000000" w:sz="4"/>
              <w:left w:val="none" w:color="000000" w:sz="4"/>
              <w:bottom w:val="single" w:color="000000" w:sz="4"/>
              <w:right w:val="single" w:color="000000" w:sz="4"/>
            </w:tcBorders>
          </w:tcPr>
          <w:p/>
        </w:tc>
        <w:tc>
          <w:tcPr>
            <w:tcW w:type="dxa" w:w="1686"/>
            <w:vMerge w:val="restart"/>
            <w:tcBorders>
              <w:top w:val="none" w:color="000000" w:sz="4"/>
              <w:left w:val="none" w:color="000000" w:sz="4"/>
              <w:bottom w:val="single" w:color="000000" w:sz="4"/>
              <w:right w:val="single" w:color="000000" w:sz="4"/>
            </w:tcBorders>
            <w:tcMar>
              <w:top w:type="dxa" w:w="15"/>
              <w:left w:type="dxa" w:w="15"/>
              <w:bottom w:type="dxa" w:w="0"/>
              <w:right w:type="dxa" w:w="15"/>
            </w:tcMar>
            <w:vAlign w:val="top"/>
          </w:tcPr>
          <w:p>
            <w:pPr>
              <w:pStyle w:val="null3"/>
              <w:jc w:val="center"/>
            </w:pPr>
            <w:r>
              <w:rPr>
                <w:sz w:val="21"/>
              </w:rPr>
              <w:t>修复时间</w:t>
            </w:r>
          </w:p>
        </w:tc>
        <w:tc>
          <w:tcPr>
            <w:tcW w:type="dxa" w:w="4881"/>
            <w:tcBorders>
              <w:top w:val="none" w:color="000000" w:sz="4"/>
              <w:left w:val="none" w:color="000000" w:sz="4"/>
              <w:bottom w:val="single" w:color="000000" w:sz="4"/>
              <w:right w:val="single" w:color="000000" w:sz="4"/>
            </w:tcBorders>
            <w:tcMar>
              <w:top w:type="dxa" w:w="15"/>
              <w:left w:type="dxa" w:w="15"/>
              <w:bottom w:type="dxa" w:w="0"/>
              <w:right w:type="dxa" w:w="15"/>
            </w:tcMar>
            <w:vAlign w:val="top"/>
          </w:tcPr>
          <w:p>
            <w:pPr>
              <w:pStyle w:val="null3"/>
              <w:jc w:val="both"/>
            </w:pPr>
            <w:r>
              <w:rPr>
                <w:sz w:val="21"/>
              </w:rPr>
              <w:t>一般时间</w:t>
            </w:r>
            <w:r>
              <w:rPr>
                <w:sz w:val="21"/>
              </w:rPr>
              <w:t>故障发生之时起</w:t>
            </w:r>
            <w:r>
              <w:rPr>
                <w:sz w:val="21"/>
              </w:rPr>
              <w:t>6小时内修复，超过时间一次扣3分，之后按照1分/小时累加</w:t>
            </w:r>
            <w:r>
              <w:rPr>
                <w:sz w:val="21"/>
              </w:rPr>
              <w:t>。</w:t>
            </w:r>
          </w:p>
        </w:tc>
      </w:tr>
      <w:tr>
        <w:tc>
          <w:tcPr>
            <w:tcW w:type="dxa" w:w="68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sz w:val="21"/>
              </w:rPr>
              <w:t>6</w:t>
            </w:r>
          </w:p>
        </w:tc>
        <w:tc>
          <w:tcPr>
            <w:tcW w:type="dxa" w:w="1053"/>
            <w:vMerge/>
            <w:tcBorders>
              <w:top w:val="none" w:color="000000" w:sz="4"/>
              <w:left w:val="none" w:color="000000" w:sz="4"/>
              <w:bottom w:val="single" w:color="000000" w:sz="4"/>
              <w:right w:val="single" w:color="000000" w:sz="4"/>
            </w:tcBorders>
          </w:tcPr>
          <w:p/>
        </w:tc>
        <w:tc>
          <w:tcPr>
            <w:tcW w:type="dxa" w:w="1686"/>
            <w:vMerge/>
            <w:tcBorders>
              <w:top w:val="none" w:color="000000" w:sz="4"/>
              <w:left w:val="none" w:color="000000" w:sz="4"/>
              <w:bottom w:val="single" w:color="000000" w:sz="4"/>
              <w:right w:val="single" w:color="000000" w:sz="4"/>
            </w:tcBorders>
          </w:tcPr>
          <w:p/>
        </w:tc>
        <w:tc>
          <w:tcPr>
            <w:tcW w:type="dxa" w:w="4881"/>
            <w:tcBorders>
              <w:top w:val="none" w:color="000000" w:sz="4"/>
              <w:left w:val="none" w:color="000000" w:sz="4"/>
              <w:bottom w:val="single" w:color="000000" w:sz="4"/>
              <w:right w:val="single" w:color="000000" w:sz="4"/>
            </w:tcBorders>
            <w:tcMar>
              <w:top w:type="dxa" w:w="15"/>
              <w:left w:type="dxa" w:w="15"/>
              <w:bottom w:type="dxa" w:w="0"/>
              <w:right w:type="dxa" w:w="15"/>
            </w:tcMar>
            <w:vAlign w:val="top"/>
          </w:tcPr>
          <w:p>
            <w:pPr>
              <w:pStyle w:val="null3"/>
              <w:jc w:val="both"/>
            </w:pPr>
            <w:r>
              <w:rPr>
                <w:sz w:val="21"/>
              </w:rPr>
              <w:t>重大安保期间</w:t>
            </w:r>
            <w:r>
              <w:rPr>
                <w:sz w:val="21"/>
              </w:rPr>
              <w:t>发生之时起</w:t>
            </w:r>
            <w:r>
              <w:rPr>
                <w:sz w:val="21"/>
              </w:rPr>
              <w:t>2小时内修复，超过时间一次扣10分，之后按照3分/小时累加</w:t>
            </w:r>
            <w:r>
              <w:rPr>
                <w:sz w:val="21"/>
              </w:rPr>
              <w:t>。</w:t>
            </w:r>
          </w:p>
        </w:tc>
      </w:tr>
      <w:tr>
        <w:tc>
          <w:tcPr>
            <w:tcW w:type="dxa" w:w="68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sz w:val="21"/>
              </w:rPr>
              <w:t>7</w:t>
            </w:r>
          </w:p>
        </w:tc>
        <w:tc>
          <w:tcPr>
            <w:tcW w:type="dxa" w:w="1053"/>
            <w:vMerge/>
            <w:tcBorders>
              <w:top w:val="none" w:color="000000" w:sz="4"/>
              <w:left w:val="none" w:color="000000" w:sz="4"/>
              <w:bottom w:val="single" w:color="000000" w:sz="4"/>
              <w:right w:val="single" w:color="000000" w:sz="4"/>
            </w:tcBorders>
          </w:tcPr>
          <w:p/>
        </w:tc>
        <w:tc>
          <w:tcPr>
            <w:tcW w:type="dxa" w:w="1686"/>
            <w:tcBorders>
              <w:top w:val="none" w:color="000000" w:sz="4"/>
              <w:left w:val="none" w:color="000000" w:sz="4"/>
              <w:bottom w:val="single" w:color="000000" w:sz="4"/>
              <w:right w:val="single" w:color="000000" w:sz="4"/>
            </w:tcBorders>
            <w:tcMar>
              <w:top w:type="dxa" w:w="15"/>
              <w:left w:type="dxa" w:w="15"/>
              <w:bottom w:type="dxa" w:w="0"/>
              <w:right w:type="dxa" w:w="15"/>
            </w:tcMar>
            <w:vAlign w:val="top"/>
          </w:tcPr>
          <w:p>
            <w:pPr>
              <w:pStyle w:val="null3"/>
              <w:jc w:val="center"/>
            </w:pPr>
            <w:r>
              <w:rPr>
                <w:sz w:val="21"/>
              </w:rPr>
              <w:t>备件备品提供</w:t>
            </w:r>
          </w:p>
        </w:tc>
        <w:tc>
          <w:tcPr>
            <w:tcW w:type="dxa" w:w="4881"/>
            <w:tcBorders>
              <w:top w:val="none" w:color="000000" w:sz="4"/>
              <w:left w:val="none" w:color="000000" w:sz="4"/>
              <w:bottom w:val="single" w:color="000000" w:sz="4"/>
              <w:right w:val="single" w:color="000000" w:sz="4"/>
            </w:tcBorders>
            <w:tcMar>
              <w:top w:type="dxa" w:w="15"/>
              <w:left w:type="dxa" w:w="15"/>
              <w:bottom w:type="dxa" w:w="0"/>
              <w:right w:type="dxa" w:w="15"/>
            </w:tcMar>
            <w:vAlign w:val="top"/>
          </w:tcPr>
          <w:p>
            <w:pPr>
              <w:pStyle w:val="null3"/>
              <w:jc w:val="both"/>
            </w:pPr>
            <w:r>
              <w:rPr>
                <w:sz w:val="21"/>
              </w:rPr>
              <w:t>未在规定时限提供替代硬件的，每次扣除</w:t>
            </w:r>
            <w:r>
              <w:rPr>
                <w:sz w:val="21"/>
              </w:rPr>
              <w:t>2分，之后按1分/小时累加；使用假冒伪劣品的，每次扣1分，并追加由此产生后果的责任。</w:t>
            </w:r>
          </w:p>
        </w:tc>
      </w:tr>
      <w:tr>
        <w:tc>
          <w:tcPr>
            <w:tcW w:type="dxa" w:w="68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sz w:val="21"/>
              </w:rPr>
              <w:t>8</w:t>
            </w:r>
          </w:p>
        </w:tc>
        <w:tc>
          <w:tcPr>
            <w:tcW w:type="dxa" w:w="1053"/>
            <w:vMerge w:val="restart"/>
            <w:tcBorders>
              <w:top w:val="none" w:color="000000" w:sz="4"/>
              <w:left w:val="none" w:color="000000" w:sz="4"/>
              <w:bottom w:val="single" w:color="000000" w:sz="4"/>
              <w:right w:val="single" w:color="000000" w:sz="4"/>
            </w:tcBorders>
            <w:tcMar>
              <w:top w:type="dxa" w:w="15"/>
              <w:left w:type="dxa" w:w="15"/>
              <w:bottom w:type="dxa" w:w="0"/>
              <w:right w:type="dxa" w:w="15"/>
            </w:tcMar>
            <w:vAlign w:val="top"/>
          </w:tcPr>
          <w:p>
            <w:pPr>
              <w:pStyle w:val="null3"/>
              <w:jc w:val="center"/>
            </w:pPr>
            <w:r>
              <w:rPr>
                <w:sz w:val="21"/>
              </w:rPr>
              <w:t>主动支持服务考核</w:t>
            </w:r>
          </w:p>
        </w:tc>
        <w:tc>
          <w:tcPr>
            <w:tcW w:type="dxa" w:w="1686"/>
            <w:tcBorders>
              <w:top w:val="none" w:color="000000" w:sz="4"/>
              <w:left w:val="none" w:color="000000" w:sz="4"/>
              <w:bottom w:val="single" w:color="000000" w:sz="4"/>
              <w:right w:val="single" w:color="000000" w:sz="4"/>
            </w:tcBorders>
            <w:tcMar>
              <w:top w:type="dxa" w:w="15"/>
              <w:left w:type="dxa" w:w="15"/>
              <w:bottom w:type="dxa" w:w="0"/>
              <w:right w:type="dxa" w:w="15"/>
            </w:tcMar>
            <w:vAlign w:val="top"/>
          </w:tcPr>
          <w:p>
            <w:pPr>
              <w:pStyle w:val="null3"/>
              <w:jc w:val="center"/>
            </w:pPr>
            <w:r>
              <w:rPr>
                <w:sz w:val="21"/>
              </w:rPr>
              <w:t>日常巡检考核</w:t>
            </w:r>
          </w:p>
        </w:tc>
        <w:tc>
          <w:tcPr>
            <w:tcW w:type="dxa" w:w="4881"/>
            <w:tcBorders>
              <w:top w:val="none" w:color="000000" w:sz="4"/>
              <w:left w:val="none" w:color="000000" w:sz="4"/>
              <w:bottom w:val="single" w:color="000000" w:sz="4"/>
              <w:right w:val="single" w:color="000000" w:sz="4"/>
            </w:tcBorders>
            <w:tcMar>
              <w:top w:type="dxa" w:w="15"/>
              <w:left w:type="dxa" w:w="15"/>
              <w:bottom w:type="dxa" w:w="0"/>
              <w:right w:type="dxa" w:w="15"/>
            </w:tcMar>
            <w:vAlign w:val="top"/>
          </w:tcPr>
          <w:p>
            <w:pPr>
              <w:pStyle w:val="null3"/>
              <w:jc w:val="both"/>
            </w:pPr>
            <w:r>
              <w:rPr>
                <w:sz w:val="21"/>
              </w:rPr>
              <w:t>依方案内容，需对维保范围内设备，每月提供一次例行巡检等服务并提交报告，如未进行巡检或者提供虚假报告，每次扣除</w:t>
            </w:r>
            <w:r>
              <w:rPr>
                <w:sz w:val="21"/>
              </w:rPr>
              <w:t>1分；经督促未及时整改或整改不力的每次扣3分。</w:t>
            </w:r>
          </w:p>
        </w:tc>
      </w:tr>
      <w:tr>
        <w:tc>
          <w:tcPr>
            <w:tcW w:type="dxa" w:w="68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sz w:val="21"/>
              </w:rPr>
              <w:t>9</w:t>
            </w:r>
          </w:p>
        </w:tc>
        <w:tc>
          <w:tcPr>
            <w:tcW w:type="dxa" w:w="1053"/>
            <w:vMerge/>
            <w:tcBorders>
              <w:top w:val="none" w:color="000000" w:sz="4"/>
              <w:left w:val="none" w:color="000000" w:sz="4"/>
              <w:bottom w:val="single" w:color="000000" w:sz="4"/>
              <w:right w:val="single" w:color="000000" w:sz="4"/>
            </w:tcBorders>
          </w:tcPr>
          <w:p/>
        </w:tc>
        <w:tc>
          <w:tcPr>
            <w:tcW w:type="dxa" w:w="1686"/>
            <w:tcBorders>
              <w:top w:val="none" w:color="000000" w:sz="4"/>
              <w:left w:val="none" w:color="000000" w:sz="4"/>
              <w:bottom w:val="single" w:color="000000" w:sz="4"/>
              <w:right w:val="single" w:color="000000" w:sz="4"/>
            </w:tcBorders>
            <w:tcMar>
              <w:top w:type="dxa" w:w="15"/>
              <w:left w:type="dxa" w:w="15"/>
              <w:bottom w:type="dxa" w:w="0"/>
              <w:right w:type="dxa" w:w="15"/>
            </w:tcMar>
            <w:vAlign w:val="top"/>
          </w:tcPr>
          <w:p>
            <w:pPr>
              <w:pStyle w:val="null3"/>
              <w:jc w:val="center"/>
            </w:pPr>
            <w:r>
              <w:rPr>
                <w:sz w:val="21"/>
              </w:rPr>
              <w:t>版本升级服务考核</w:t>
            </w:r>
          </w:p>
        </w:tc>
        <w:tc>
          <w:tcPr>
            <w:tcW w:type="dxa" w:w="4881"/>
            <w:tcBorders>
              <w:top w:val="none" w:color="000000" w:sz="4"/>
              <w:left w:val="none" w:color="000000" w:sz="4"/>
              <w:bottom w:val="single" w:color="000000" w:sz="4"/>
              <w:right w:val="single" w:color="000000" w:sz="4"/>
            </w:tcBorders>
            <w:tcMar>
              <w:top w:type="dxa" w:w="15"/>
              <w:left w:type="dxa" w:w="15"/>
              <w:bottom w:type="dxa" w:w="0"/>
              <w:right w:type="dxa" w:w="15"/>
            </w:tcMar>
            <w:vAlign w:val="top"/>
          </w:tcPr>
          <w:p>
            <w:pPr>
              <w:pStyle w:val="null3"/>
              <w:jc w:val="both"/>
            </w:pPr>
            <w:r>
              <w:rPr>
                <w:sz w:val="21"/>
              </w:rPr>
              <w:t>及时提供系统版本管理及软，硬件补丁服务。造成软、硬件存在故障隐患的，每次扣除</w:t>
            </w:r>
            <w:r>
              <w:rPr>
                <w:sz w:val="21"/>
              </w:rPr>
              <w:t>1分。</w:t>
            </w:r>
          </w:p>
        </w:tc>
      </w:tr>
      <w:tr>
        <w:tc>
          <w:tcPr>
            <w:tcW w:type="dxa" w:w="68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sz w:val="21"/>
              </w:rPr>
              <w:t>10</w:t>
            </w:r>
          </w:p>
        </w:tc>
        <w:tc>
          <w:tcPr>
            <w:tcW w:type="dxa" w:w="1053"/>
            <w:vMerge/>
            <w:tcBorders>
              <w:top w:val="none" w:color="000000" w:sz="4"/>
              <w:left w:val="none" w:color="000000" w:sz="4"/>
              <w:bottom w:val="single" w:color="000000" w:sz="4"/>
              <w:right w:val="single" w:color="000000" w:sz="4"/>
            </w:tcBorders>
          </w:tcPr>
          <w:p/>
        </w:tc>
        <w:tc>
          <w:tcPr>
            <w:tcW w:type="dxa" w:w="1686"/>
            <w:tcBorders>
              <w:top w:val="none" w:color="000000" w:sz="4"/>
              <w:left w:val="none" w:color="000000" w:sz="4"/>
              <w:bottom w:val="single" w:color="000000" w:sz="4"/>
              <w:right w:val="single" w:color="000000" w:sz="4"/>
            </w:tcBorders>
            <w:tcMar>
              <w:top w:type="dxa" w:w="15"/>
              <w:left w:type="dxa" w:w="15"/>
              <w:bottom w:type="dxa" w:w="0"/>
              <w:right w:type="dxa" w:w="15"/>
            </w:tcMar>
            <w:vAlign w:val="top"/>
          </w:tcPr>
          <w:p>
            <w:pPr>
              <w:pStyle w:val="null3"/>
              <w:jc w:val="center"/>
            </w:pPr>
            <w:r>
              <w:rPr>
                <w:sz w:val="21"/>
              </w:rPr>
              <w:t>勤务期保障服务考核</w:t>
            </w:r>
          </w:p>
        </w:tc>
        <w:tc>
          <w:tcPr>
            <w:tcW w:type="dxa" w:w="4881"/>
            <w:tcBorders>
              <w:top w:val="none" w:color="000000" w:sz="4"/>
              <w:left w:val="none" w:color="000000" w:sz="4"/>
              <w:bottom w:val="single" w:color="000000" w:sz="4"/>
              <w:right w:val="single" w:color="000000" w:sz="4"/>
            </w:tcBorders>
            <w:tcMar>
              <w:top w:type="dxa" w:w="15"/>
              <w:left w:type="dxa" w:w="15"/>
              <w:bottom w:type="dxa" w:w="0"/>
              <w:right w:type="dxa" w:w="15"/>
            </w:tcMar>
            <w:vAlign w:val="top"/>
          </w:tcPr>
          <w:p>
            <w:pPr>
              <w:pStyle w:val="null3"/>
              <w:jc w:val="both"/>
            </w:pPr>
            <w:r>
              <w:rPr>
                <w:sz w:val="21"/>
              </w:rPr>
              <w:t>包括气象灾害预警、重大节假日、政治活动、公安等级勤务期间、重大安保活动等勤务期要求技术支持工程师到现场完成网络技术保障服务，未按照现场要求服务的，每次扣除</w:t>
            </w:r>
            <w:r>
              <w:rPr>
                <w:sz w:val="21"/>
              </w:rPr>
              <w:t>2分，经督促未及时整改或整改不力的每次扣3分。</w:t>
            </w:r>
          </w:p>
        </w:tc>
      </w:tr>
      <w:tr>
        <w:tc>
          <w:tcPr>
            <w:tcW w:type="dxa" w:w="68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sz w:val="21"/>
              </w:rPr>
              <w:t>11</w:t>
            </w:r>
          </w:p>
        </w:tc>
        <w:tc>
          <w:tcPr>
            <w:tcW w:type="dxa" w:w="1053"/>
            <w:vMerge/>
            <w:tcBorders>
              <w:top w:val="none" w:color="000000" w:sz="4"/>
              <w:left w:val="none" w:color="000000" w:sz="4"/>
              <w:bottom w:val="single" w:color="000000" w:sz="4"/>
              <w:right w:val="single" w:color="000000" w:sz="4"/>
            </w:tcBorders>
          </w:tcPr>
          <w:p/>
        </w:tc>
        <w:tc>
          <w:tcPr>
            <w:tcW w:type="dxa" w:w="1686"/>
            <w:tcBorders>
              <w:top w:val="none" w:color="000000" w:sz="4"/>
              <w:left w:val="none" w:color="000000" w:sz="4"/>
              <w:bottom w:val="single" w:color="000000" w:sz="4"/>
              <w:right w:val="single" w:color="000000" w:sz="4"/>
            </w:tcBorders>
            <w:tcMar>
              <w:top w:type="dxa" w:w="15"/>
              <w:left w:type="dxa" w:w="15"/>
              <w:bottom w:type="dxa" w:w="0"/>
              <w:right w:type="dxa" w:w="15"/>
            </w:tcMar>
            <w:vAlign w:val="top"/>
          </w:tcPr>
          <w:p>
            <w:pPr>
              <w:pStyle w:val="null3"/>
              <w:jc w:val="center"/>
            </w:pPr>
            <w:r>
              <w:rPr>
                <w:sz w:val="21"/>
              </w:rPr>
              <w:t>性能分析服务考核</w:t>
            </w:r>
          </w:p>
        </w:tc>
        <w:tc>
          <w:tcPr>
            <w:tcW w:type="dxa" w:w="4881"/>
            <w:tcBorders>
              <w:top w:val="none" w:color="000000" w:sz="4"/>
              <w:left w:val="none" w:color="000000" w:sz="4"/>
              <w:bottom w:val="single" w:color="000000" w:sz="4"/>
              <w:right w:val="single" w:color="000000" w:sz="4"/>
            </w:tcBorders>
            <w:tcMar>
              <w:top w:type="dxa" w:w="15"/>
              <w:left w:type="dxa" w:w="15"/>
              <w:bottom w:type="dxa" w:w="0"/>
              <w:right w:type="dxa" w:w="15"/>
            </w:tcMar>
            <w:vAlign w:val="top"/>
          </w:tcPr>
          <w:p>
            <w:pPr>
              <w:pStyle w:val="null3"/>
              <w:jc w:val="both"/>
            </w:pPr>
            <w:r>
              <w:rPr>
                <w:sz w:val="21"/>
              </w:rPr>
              <w:t>按方案内容，在服务期间，需要对系统资源负载提供监控服务。对系统瓶颈提供分析预测服务，及对系统升级方案提供评估服务。如不及时</w:t>
            </w:r>
            <w:r>
              <w:rPr>
                <w:sz w:val="21"/>
              </w:rPr>
              <w:t>做出</w:t>
            </w:r>
            <w:r>
              <w:rPr>
                <w:sz w:val="21"/>
              </w:rPr>
              <w:t>准确科学分析，每次扣</w:t>
            </w:r>
            <w:r>
              <w:rPr>
                <w:sz w:val="21"/>
              </w:rPr>
              <w:t>1分。</w:t>
            </w:r>
          </w:p>
        </w:tc>
      </w:tr>
      <w:tr>
        <w:tc>
          <w:tcPr>
            <w:tcW w:type="dxa" w:w="68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sz w:val="21"/>
              </w:rPr>
              <w:t>12</w:t>
            </w:r>
          </w:p>
        </w:tc>
        <w:tc>
          <w:tcPr>
            <w:tcW w:type="dxa" w:w="1053"/>
            <w:vMerge/>
            <w:tcBorders>
              <w:top w:val="none" w:color="000000" w:sz="4"/>
              <w:left w:val="none" w:color="000000" w:sz="4"/>
              <w:bottom w:val="single" w:color="000000" w:sz="4"/>
              <w:right w:val="single" w:color="000000" w:sz="4"/>
            </w:tcBorders>
          </w:tcPr>
          <w:p/>
        </w:tc>
        <w:tc>
          <w:tcPr>
            <w:tcW w:type="dxa" w:w="1686"/>
            <w:tcBorders>
              <w:top w:val="none" w:color="000000" w:sz="4"/>
              <w:left w:val="none" w:color="000000" w:sz="4"/>
              <w:bottom w:val="single" w:color="000000" w:sz="4"/>
              <w:right w:val="single" w:color="000000" w:sz="4"/>
            </w:tcBorders>
            <w:tcMar>
              <w:top w:type="dxa" w:w="15"/>
              <w:left w:type="dxa" w:w="15"/>
              <w:bottom w:type="dxa" w:w="0"/>
              <w:right w:type="dxa" w:w="15"/>
            </w:tcMar>
            <w:vAlign w:val="top"/>
          </w:tcPr>
          <w:p>
            <w:pPr>
              <w:pStyle w:val="null3"/>
              <w:jc w:val="center"/>
            </w:pPr>
            <w:r>
              <w:rPr>
                <w:sz w:val="21"/>
              </w:rPr>
              <w:t>阶段性维护服务总结方面维护</w:t>
            </w:r>
          </w:p>
        </w:tc>
        <w:tc>
          <w:tcPr>
            <w:tcW w:type="dxa" w:w="4881"/>
            <w:tcBorders>
              <w:top w:val="none" w:color="000000" w:sz="4"/>
              <w:left w:val="none" w:color="000000" w:sz="4"/>
              <w:bottom w:val="single" w:color="000000" w:sz="4"/>
              <w:right w:val="single" w:color="000000" w:sz="4"/>
            </w:tcBorders>
            <w:tcMar>
              <w:top w:type="dxa" w:w="15"/>
              <w:left w:type="dxa" w:w="15"/>
              <w:bottom w:type="dxa" w:w="0"/>
              <w:right w:type="dxa" w:w="15"/>
            </w:tcMar>
            <w:vAlign w:val="top"/>
          </w:tcPr>
          <w:p>
            <w:pPr>
              <w:pStyle w:val="null3"/>
              <w:jc w:val="both"/>
            </w:pPr>
            <w:r>
              <w:rPr>
                <w:sz w:val="21"/>
              </w:rPr>
              <w:t>按方案，每月结束后</w:t>
            </w:r>
            <w:r>
              <w:rPr>
                <w:sz w:val="21"/>
              </w:rPr>
              <w:t>5日，需要提供阶段性服务总结，如未在5日内完成或提供虚假报告的，每次扣1分；经督促未及时整改或整改不力的每次扣3分。</w:t>
            </w:r>
          </w:p>
        </w:tc>
      </w:tr>
      <w:tr>
        <w:tc>
          <w:tcPr>
            <w:tcW w:type="dxa" w:w="68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sz w:val="21"/>
              </w:rPr>
              <w:t>13</w:t>
            </w:r>
          </w:p>
        </w:tc>
        <w:tc>
          <w:tcPr>
            <w:tcW w:type="dxa" w:w="1053"/>
            <w:vMerge/>
            <w:tcBorders>
              <w:top w:val="none" w:color="000000" w:sz="4"/>
              <w:left w:val="none" w:color="000000" w:sz="4"/>
              <w:bottom w:val="single" w:color="000000" w:sz="4"/>
              <w:right w:val="single" w:color="000000" w:sz="4"/>
            </w:tcBorders>
          </w:tcPr>
          <w:p/>
        </w:tc>
        <w:tc>
          <w:tcPr>
            <w:tcW w:type="dxa" w:w="1686"/>
            <w:vMerge w:val="restart"/>
            <w:tcBorders>
              <w:top w:val="none" w:color="000000" w:sz="4"/>
              <w:left w:val="none" w:color="000000" w:sz="4"/>
              <w:bottom w:val="single" w:color="000000" w:sz="4"/>
              <w:right w:val="single" w:color="000000" w:sz="4"/>
            </w:tcBorders>
            <w:tcMar>
              <w:top w:type="dxa" w:w="15"/>
              <w:left w:type="dxa" w:w="15"/>
              <w:bottom w:type="dxa" w:w="0"/>
              <w:right w:type="dxa" w:w="15"/>
            </w:tcMar>
            <w:vAlign w:val="top"/>
          </w:tcPr>
          <w:p>
            <w:pPr>
              <w:pStyle w:val="null3"/>
              <w:jc w:val="center"/>
            </w:pPr>
            <w:r>
              <w:rPr>
                <w:sz w:val="21"/>
              </w:rPr>
              <w:t>文档管理服务及培训服务方面考核</w:t>
            </w:r>
          </w:p>
        </w:tc>
        <w:tc>
          <w:tcPr>
            <w:tcW w:type="dxa" w:w="4881"/>
            <w:tcBorders>
              <w:top w:val="none" w:color="000000" w:sz="4"/>
              <w:left w:val="none" w:color="000000" w:sz="4"/>
              <w:bottom w:val="single" w:color="000000" w:sz="4"/>
              <w:right w:val="single" w:color="000000" w:sz="4"/>
            </w:tcBorders>
            <w:tcMar>
              <w:top w:type="dxa" w:w="15"/>
              <w:left w:type="dxa" w:w="15"/>
              <w:bottom w:type="dxa" w:w="0"/>
              <w:right w:type="dxa" w:w="15"/>
            </w:tcMar>
            <w:vAlign w:val="top"/>
          </w:tcPr>
          <w:p>
            <w:pPr>
              <w:pStyle w:val="null3"/>
              <w:jc w:val="both"/>
            </w:pPr>
            <w:r>
              <w:rPr>
                <w:sz w:val="21"/>
              </w:rPr>
              <w:t>文档服务依方案，在项目启动后，需要建立服务档案，技术文档管理，提供服务记录查询服务，如造成文档明显缺失、报告虚假，发现一次扣除</w:t>
            </w:r>
            <w:r>
              <w:rPr>
                <w:sz w:val="21"/>
              </w:rPr>
              <w:t>1分；经督促未及时整改或整改不力的每次扣3分。</w:t>
            </w:r>
          </w:p>
        </w:tc>
      </w:tr>
      <w:tr>
        <w:tc>
          <w:tcPr>
            <w:tcW w:type="dxa" w:w="683"/>
            <w:tcBorders>
              <w:top w:val="none" w:color="000000" w:sz="4"/>
              <w:left w:val="single" w:color="000000" w:sz="4"/>
              <w:bottom w:val="single" w:color="000000" w:sz="4"/>
              <w:right w:val="single" w:color="000000" w:sz="4"/>
            </w:tcBorders>
            <w:tcMar>
              <w:top w:type="dxa" w:w="15"/>
              <w:left w:type="dxa" w:w="15"/>
              <w:bottom w:type="dxa" w:w="0"/>
              <w:right w:type="dxa" w:w="15"/>
            </w:tcMar>
            <w:vAlign w:val="top"/>
          </w:tcPr>
          <w:p>
            <w:pPr>
              <w:pStyle w:val="null3"/>
              <w:jc w:val="center"/>
            </w:pPr>
            <w:r>
              <w:rPr>
                <w:sz w:val="21"/>
              </w:rPr>
              <w:t>14</w:t>
            </w:r>
          </w:p>
        </w:tc>
        <w:tc>
          <w:tcPr>
            <w:tcW w:type="dxa" w:w="1053"/>
            <w:vMerge/>
            <w:tcBorders>
              <w:top w:val="none" w:color="000000" w:sz="4"/>
              <w:left w:val="none" w:color="000000" w:sz="4"/>
              <w:bottom w:val="single" w:color="000000" w:sz="4"/>
              <w:right w:val="single" w:color="000000" w:sz="4"/>
            </w:tcBorders>
          </w:tcPr>
          <w:p/>
        </w:tc>
        <w:tc>
          <w:tcPr>
            <w:tcW w:type="dxa" w:w="1686"/>
            <w:vMerge/>
            <w:tcBorders>
              <w:top w:val="none" w:color="000000" w:sz="4"/>
              <w:left w:val="none" w:color="000000" w:sz="4"/>
              <w:bottom w:val="single" w:color="000000" w:sz="4"/>
              <w:right w:val="single" w:color="000000" w:sz="4"/>
            </w:tcBorders>
          </w:tcPr>
          <w:p/>
        </w:tc>
        <w:tc>
          <w:tcPr>
            <w:tcW w:type="dxa" w:w="4881"/>
            <w:tcBorders>
              <w:top w:val="none" w:color="000000" w:sz="4"/>
              <w:left w:val="none" w:color="000000" w:sz="4"/>
              <w:bottom w:val="single" w:color="000000" w:sz="4"/>
              <w:right w:val="single" w:color="000000" w:sz="4"/>
            </w:tcBorders>
            <w:tcMar>
              <w:top w:type="dxa" w:w="15"/>
              <w:left w:type="dxa" w:w="15"/>
              <w:bottom w:type="dxa" w:w="0"/>
              <w:right w:type="dxa" w:w="15"/>
            </w:tcMar>
            <w:vAlign w:val="top"/>
          </w:tcPr>
          <w:p>
            <w:pPr>
              <w:pStyle w:val="null3"/>
              <w:jc w:val="both"/>
            </w:pPr>
            <w:r>
              <w:rPr>
                <w:sz w:val="21"/>
              </w:rPr>
              <w:t>培训服务依照方案需提供集中培训和现场培训，如</w:t>
            </w:r>
            <w:r>
              <w:rPr>
                <w:sz w:val="21"/>
              </w:rPr>
              <w:t>采购人</w:t>
            </w:r>
            <w:r>
              <w:rPr>
                <w:sz w:val="21"/>
              </w:rPr>
              <w:t>要求而不提供培训服务的，每次扣</w:t>
            </w:r>
            <w:r>
              <w:rPr>
                <w:sz w:val="21"/>
              </w:rPr>
              <w:t>1分。</w:t>
            </w:r>
          </w:p>
        </w:tc>
      </w:tr>
    </w:tbl>
    <w:p>
      <w:pPr>
        <w:pStyle w:val="null3"/>
        <w:ind w:firstLine="422"/>
      </w:pPr>
      <w:r>
        <w:rPr>
          <w:sz w:val="21"/>
          <w:b/>
        </w:rPr>
        <w:t>（三）安全服务评分</w:t>
      </w:r>
    </w:p>
    <w:p>
      <w:pPr>
        <w:pStyle w:val="null3"/>
        <w:ind w:firstLine="420"/>
      </w:pPr>
      <w:r>
        <w:rPr>
          <w:sz w:val="21"/>
        </w:rPr>
        <w:t>安全服务评分考核满分</w:t>
      </w:r>
      <w:r>
        <w:rPr>
          <w:sz w:val="21"/>
        </w:rPr>
        <w:t>20分，被上级或同级单位报告安全网络问题扣5分/项，扣完即止。</w:t>
      </w:r>
    </w:p>
    <w:p>
      <w:pPr>
        <w:pStyle w:val="null3"/>
      </w:pPr>
      <w:r>
        <w:rPr/>
        <w:t>采购包1（民众街道民众分局视频监控运维升级改造项目）</w:t>
      </w:r>
      <w:r>
        <w:rPr>
          <w:b/>
        </w:rPr>
        <w:t>1.主要商务要求</w:t>
      </w:r>
    </w:p>
    <w:tbl>
      <w:tblPr>
        <w:tblW w:w="0" w:type="auto"/>
        <w:tblBorders>
          <w:top w:val="single"/>
          <w:left w:val="single"/>
          <w:bottom w:val="single"/>
          <w:right w:val="single"/>
          <w:insideH w:val="single"/>
          <w:insideV w:val="single"/>
        </w:tblBorders>
      </w:tblPr>
      <w:tblGrid>
        <w:gridCol w:w="4153"/>
        <w:gridCol w:w="4153"/>
      </w:tblGrid>
      <w:tr>
        <w:tc>
          <w:tcPr>
            <w:tcW w:type="dxa" w:w="4153"/>
          </w:tcPr>
          <w:p>
            <w:pPr>
              <w:pStyle w:val="null3"/>
            </w:pPr>
            <w:r>
              <w:rPr/>
              <w:t>标的提供的时间</w:t>
            </w:r>
          </w:p>
        </w:tc>
        <w:tc>
          <w:tcPr>
            <w:tcW w:type="dxa" w:w="4153"/>
          </w:tcPr>
          <w:p>
            <w:pPr>
              <w:pStyle w:val="null3"/>
            </w:pPr>
            <w:r>
              <w:rPr/>
              <w:t>自合同签订之日起730个日历天。</w:t>
            </w:r>
          </w:p>
        </w:tc>
      </w:tr>
      <w:tr>
        <w:tc>
          <w:tcPr>
            <w:tcW w:type="dxa" w:w="4153"/>
          </w:tcPr>
          <w:p>
            <w:pPr>
              <w:pStyle w:val="null3"/>
            </w:pPr>
            <w:r>
              <w:rPr/>
              <w:t>标的提供的地点</w:t>
            </w:r>
          </w:p>
        </w:tc>
        <w:tc>
          <w:tcPr>
            <w:tcW w:type="dxa" w:w="4153"/>
          </w:tcPr>
          <w:p>
            <w:pPr>
              <w:pStyle w:val="null3"/>
            </w:pPr>
            <w:r>
              <w:rPr/>
              <w:t>采购人指定地点。</w:t>
            </w:r>
          </w:p>
        </w:tc>
      </w:tr>
      <w:tr>
        <w:tc>
          <w:tcPr>
            <w:tcW w:type="dxa" w:w="4153"/>
          </w:tcPr>
          <w:p>
            <w:pPr>
              <w:pStyle w:val="null3"/>
            </w:pPr>
            <w:r>
              <w:rPr/>
              <w:t>付款方式</w:t>
            </w:r>
          </w:p>
        </w:tc>
        <w:tc>
          <w:tcPr>
            <w:tcW w:type="dxa" w:w="4153"/>
          </w:tcPr>
          <w:p>
            <w:pPr>
              <w:pStyle w:val="null3"/>
            </w:pPr>
            <w:r>
              <w:rPr/>
              <w:t>1期：支付比例100%,1.成交供应商与采购人签订合同生效后的30个工作日内，成交供应商需向采购人提出正式申请，请求按照合同规定支付合同金额的20％作为进度款（每年度不超80万元）。 2.项目通过综合验收，成交供应商请求按照合同规定支付合同金额的20％作为进度款（每年度不超80万元）。 3.成交供应商按照合同完成项目建设并通过综合验收，成交供应商需向采购人提出正式申请和服务期承诺函，结合考核情况，后续维护期（3年）每年度支付合同20%作为作为项目进度款（每年度不超80万元）。</w:t>
            </w:r>
          </w:p>
          <w:p>
            <w:pPr>
              <w:pStyle w:val="null3"/>
            </w:pPr>
            <w:r>
              <w:rPr/>
              <w:t>如项目发生合同融资，采购人需将合同款项支付到合同约定收款账户</w:t>
            </w:r>
          </w:p>
        </w:tc>
      </w:tr>
      <w:tr>
        <w:tc>
          <w:tcPr>
            <w:tcW w:type="dxa" w:w="4153"/>
          </w:tcPr>
          <w:p>
            <w:pPr>
              <w:pStyle w:val="null3"/>
            </w:pPr>
            <w:r>
              <w:rPr/>
              <w:t>验收要求</w:t>
            </w:r>
          </w:p>
        </w:tc>
        <w:tc>
          <w:tcPr>
            <w:tcW w:type="dxa" w:w="4153"/>
          </w:tcPr>
          <w:p>
            <w:pPr>
              <w:pStyle w:val="null3"/>
            </w:pPr>
            <w:r>
              <w:rPr/>
              <w:t>1期：详见第二章采购需求。</w:t>
            </w:r>
          </w:p>
        </w:tc>
      </w:tr>
      <w:tr>
        <w:tc>
          <w:tcPr>
            <w:tcW w:type="dxa" w:w="4153"/>
          </w:tcPr>
          <w:p>
            <w:pPr>
              <w:pStyle w:val="null3"/>
            </w:pPr>
            <w:r>
              <w:rPr/>
              <w:t>履约保证金</w:t>
            </w:r>
          </w:p>
        </w:tc>
        <w:tc>
          <w:tcPr>
            <w:tcW w:type="dxa" w:w="4153"/>
          </w:tcPr>
          <w:p>
            <w:pPr>
              <w:pStyle w:val="null3"/>
            </w:pPr>
            <w:r>
              <w:rPr/>
              <w:t>不收取</w:t>
            </w:r>
          </w:p>
        </w:tc>
      </w:tr>
      <w:tr>
        <w:tc>
          <w:tcPr>
            <w:tcW w:type="dxa" w:w="4153"/>
          </w:tcPr>
          <w:p>
            <w:pPr>
              <w:pStyle w:val="null3"/>
            </w:pPr>
            <w:r>
              <w:rPr/>
              <w:t>其他</w:t>
            </w:r>
          </w:p>
        </w:tc>
        <w:tc>
          <w:tcPr>
            <w:tcW w:type="dxa" w:w="4153"/>
          </w:tcPr>
          <w:p>
            <w:pPr>
              <w:pStyle w:val="null3"/>
            </w:pPr>
          </w:p>
        </w:tc>
      </w:tr>
    </w:tbl>
    <w:p>
      <w:pPr>
        <w:pStyle w:val="null3"/>
      </w:pPr>
      <w:r>
        <w:rPr>
          <w:b/>
        </w:rPr>
        <w:t>2.技术标准与要求</w:t>
      </w:r>
    </w:p>
    <w:tbl>
      <w:tblPr>
        <w:tblW w:w="0" w:type="auto"/>
        <w:tblBorders>
          <w:top w:val="single"/>
          <w:left w:val="single"/>
          <w:bottom w:val="single"/>
          <w:right w:val="single"/>
          <w:insideH w:val="single"/>
          <w:insideV w:val="single"/>
        </w:tblBorders>
      </w:tblPr>
      <w:tblGrid>
        <w:gridCol w:w="933"/>
        <w:gridCol w:w="933"/>
        <w:gridCol w:w="933"/>
        <w:gridCol w:w="933"/>
        <w:gridCol w:w="933"/>
        <w:gridCol w:w="933"/>
        <w:gridCol w:w="933"/>
        <w:gridCol w:w="840"/>
        <w:gridCol w:w="933"/>
      </w:tblGrid>
      <w:tr>
        <w:tc>
          <w:tcPr>
            <w:tcW w:type="dxa" w:w="933"/>
          </w:tcPr>
          <w:p>
            <w:pPr>
              <w:pStyle w:val="null3"/>
              <w:jc w:val="center"/>
            </w:pPr>
            <w:r>
              <w:rPr/>
              <w:t>序号</w:t>
            </w:r>
          </w:p>
        </w:tc>
        <w:tc>
          <w:tcPr>
            <w:tcW w:type="dxa" w:w="933"/>
          </w:tcPr>
          <w:p>
            <w:pPr>
              <w:pStyle w:val="null3"/>
              <w:jc w:val="center"/>
            </w:pPr>
            <w:r>
              <w:rPr/>
              <w:t>品目名称</w:t>
            </w:r>
          </w:p>
        </w:tc>
        <w:tc>
          <w:tcPr>
            <w:tcW w:type="dxa" w:w="933"/>
          </w:tcPr>
          <w:p>
            <w:pPr>
              <w:pStyle w:val="null3"/>
              <w:jc w:val="center"/>
            </w:pPr>
            <w:r>
              <w:rPr/>
              <w:t>标的名称</w:t>
            </w:r>
          </w:p>
        </w:tc>
        <w:tc>
          <w:tcPr>
            <w:tcW w:type="dxa" w:w="933"/>
          </w:tcPr>
          <w:p>
            <w:pPr>
              <w:pStyle w:val="null3"/>
              <w:jc w:val="center"/>
            </w:pPr>
            <w:r>
              <w:rPr/>
              <w:t>单位</w:t>
            </w:r>
          </w:p>
        </w:tc>
        <w:tc>
          <w:tcPr>
            <w:tcW w:type="dxa" w:w="933"/>
          </w:tcPr>
          <w:p>
            <w:pPr>
              <w:pStyle w:val="null3"/>
              <w:jc w:val="center"/>
            </w:pPr>
            <w:r>
              <w:rPr/>
              <w:t>数量</w:t>
            </w:r>
          </w:p>
        </w:tc>
        <w:tc>
          <w:tcPr>
            <w:tcW w:type="dxa" w:w="933"/>
          </w:tcPr>
          <w:p>
            <w:pPr>
              <w:pStyle w:val="null3"/>
              <w:jc w:val="center"/>
            </w:pPr>
            <w:r>
              <w:rPr/>
              <w:t>分项预算单价（元）</w:t>
            </w:r>
          </w:p>
        </w:tc>
        <w:tc>
          <w:tcPr>
            <w:tcW w:type="dxa" w:w="933"/>
          </w:tcPr>
          <w:p>
            <w:pPr>
              <w:pStyle w:val="null3"/>
              <w:jc w:val="center"/>
            </w:pPr>
            <w:r>
              <w:rPr/>
              <w:t>分项预算总价（元）</w:t>
            </w:r>
          </w:p>
        </w:tc>
        <w:tc>
          <w:tcPr>
            <w:tcW w:type="dxa" w:w="840"/>
          </w:tcPr>
          <w:p>
            <w:pPr>
              <w:pStyle w:val="null3"/>
            </w:pPr>
            <w:r>
              <w:rPr/>
              <w:t>所属行业</w:t>
            </w:r>
          </w:p>
        </w:tc>
        <w:tc>
          <w:tcPr>
            <w:tcW w:type="dxa" w:w="933"/>
          </w:tcPr>
          <w:p>
            <w:pPr>
              <w:pStyle w:val="null3"/>
              <w:jc w:val="center"/>
            </w:pPr>
            <w:r>
              <w:rPr/>
              <w:t>技术要求</w:t>
            </w:r>
          </w:p>
        </w:tc>
      </w:tr>
      <w:tr>
        <w:tc>
          <w:tcPr>
            <w:tcW w:type="dxa" w:w="933"/>
          </w:tcPr>
          <w:p>
            <w:pPr>
              <w:pStyle w:val="null3"/>
              <w:jc w:val="center"/>
            </w:pPr>
            <w:r>
              <w:rPr/>
              <w:t>1</w:t>
            </w:r>
          </w:p>
        </w:tc>
        <w:tc>
          <w:tcPr>
            <w:tcW w:type="dxa" w:w="933"/>
          </w:tcPr>
          <w:p>
            <w:pPr>
              <w:pStyle w:val="null3"/>
              <w:jc w:val="left"/>
            </w:pPr>
            <w:r>
              <w:rPr/>
              <w:t>其他通信设备</w:t>
            </w:r>
          </w:p>
        </w:tc>
        <w:tc>
          <w:tcPr>
            <w:tcW w:type="dxa" w:w="933"/>
          </w:tcPr>
          <w:p>
            <w:pPr>
              <w:pStyle w:val="null3"/>
              <w:jc w:val="left"/>
            </w:pPr>
            <w:r>
              <w:rPr/>
              <w:t>民众街道民众分局视频监控运维升级改造项目</w:t>
            </w:r>
          </w:p>
        </w:tc>
        <w:tc>
          <w:tcPr>
            <w:tcW w:type="dxa" w:w="933"/>
          </w:tcPr>
          <w:p>
            <w:pPr>
              <w:pStyle w:val="null3"/>
              <w:jc w:val="left"/>
            </w:pPr>
            <w:r>
              <w:rPr/>
              <w:t>批</w:t>
            </w:r>
          </w:p>
        </w:tc>
        <w:tc>
          <w:tcPr>
            <w:tcW w:type="dxa" w:w="933"/>
          </w:tcPr>
          <w:p>
            <w:pPr>
              <w:pStyle w:val="null3"/>
              <w:jc w:val="right"/>
            </w:pPr>
            <w:r>
              <w:rPr/>
              <w:t>1.00</w:t>
            </w:r>
          </w:p>
        </w:tc>
        <w:tc>
          <w:tcPr>
            <w:tcW w:type="dxa" w:w="933"/>
          </w:tcPr>
          <w:p>
            <w:pPr>
              <w:pStyle w:val="null3"/>
              <w:jc w:val="right"/>
            </w:pPr>
            <w:r>
              <w:rPr/>
              <w:t>3,233,149.75</w:t>
            </w:r>
          </w:p>
        </w:tc>
        <w:tc>
          <w:tcPr>
            <w:tcW w:type="dxa" w:w="933"/>
          </w:tcPr>
          <w:p>
            <w:pPr>
              <w:pStyle w:val="null3"/>
              <w:jc w:val="right"/>
            </w:pPr>
            <w:r>
              <w:rPr/>
              <w:t>3,233,149.75</w:t>
            </w:r>
          </w:p>
        </w:tc>
        <w:tc>
          <w:tcPr>
            <w:tcW w:type="dxa" w:w="840"/>
          </w:tcPr>
          <w:p>
            <w:pPr>
              <w:pStyle w:val="null3"/>
            </w:pPr>
            <w:r>
              <w:rPr/>
              <w:t>软件和信息技术服务业</w:t>
            </w:r>
          </w:p>
        </w:tc>
        <w:tc>
          <w:tcPr>
            <w:tcW w:type="dxa" w:w="933"/>
          </w:tcPr>
          <w:p>
            <w:pPr>
              <w:pStyle w:val="null3"/>
            </w:pPr>
            <w:r>
              <w:rPr/>
              <w:t>详见附表一</w:t>
            </w:r>
          </w:p>
        </w:tc>
      </w:tr>
      <w:tr>
        <w:tc>
          <w:tcPr>
            <w:tcW w:type="dxa" w:w="933"/>
          </w:tcPr>
          <w:p>
            <w:pPr>
              <w:pStyle w:val="null3"/>
              <w:jc w:val="center"/>
            </w:pPr>
            <w:r>
              <w:rPr/>
              <w:t>2</w:t>
            </w:r>
          </w:p>
        </w:tc>
        <w:tc>
          <w:tcPr>
            <w:tcW w:type="dxa" w:w="933"/>
          </w:tcPr>
          <w:p>
            <w:pPr>
              <w:pStyle w:val="null3"/>
              <w:jc w:val="left"/>
            </w:pPr>
            <w:r>
              <w:rPr/>
              <w:t>其他通信设备</w:t>
            </w:r>
          </w:p>
        </w:tc>
        <w:tc>
          <w:tcPr>
            <w:tcW w:type="dxa" w:w="933"/>
          </w:tcPr>
          <w:p>
            <w:pPr>
              <w:pStyle w:val="null3"/>
              <w:jc w:val="left"/>
            </w:pPr>
            <w:r>
              <w:rPr/>
              <w:t>400w高清智能球型摄像机</w:t>
            </w:r>
          </w:p>
        </w:tc>
        <w:tc>
          <w:tcPr>
            <w:tcW w:type="dxa" w:w="933"/>
          </w:tcPr>
          <w:p>
            <w:pPr>
              <w:pStyle w:val="null3"/>
              <w:jc w:val="left"/>
            </w:pPr>
            <w:r>
              <w:rPr/>
              <w:t>台</w:t>
            </w:r>
          </w:p>
        </w:tc>
        <w:tc>
          <w:tcPr>
            <w:tcW w:type="dxa" w:w="933"/>
          </w:tcPr>
          <w:p>
            <w:pPr>
              <w:pStyle w:val="null3"/>
              <w:jc w:val="right"/>
            </w:pPr>
            <w:r>
              <w:rPr/>
              <w:t>86.00</w:t>
            </w:r>
          </w:p>
        </w:tc>
        <w:tc>
          <w:tcPr>
            <w:tcW w:type="dxa" w:w="933"/>
          </w:tcPr>
          <w:p>
            <w:pPr>
              <w:pStyle w:val="null3"/>
              <w:jc w:val="right"/>
            </w:pPr>
            <w:r>
              <w:rPr/>
              <w:t>4,321.36</w:t>
            </w:r>
          </w:p>
        </w:tc>
        <w:tc>
          <w:tcPr>
            <w:tcW w:type="dxa" w:w="933"/>
          </w:tcPr>
          <w:p>
            <w:pPr>
              <w:pStyle w:val="null3"/>
              <w:jc w:val="right"/>
            </w:pPr>
            <w:r>
              <w:rPr/>
              <w:t>371,636.96</w:t>
            </w:r>
          </w:p>
        </w:tc>
        <w:tc>
          <w:tcPr>
            <w:tcW w:type="dxa" w:w="840"/>
          </w:tcPr>
          <w:p>
            <w:pPr>
              <w:pStyle w:val="null3"/>
            </w:pPr>
            <w:r>
              <w:rPr/>
              <w:t>软件和信息技术服务业</w:t>
            </w:r>
          </w:p>
        </w:tc>
        <w:tc>
          <w:tcPr>
            <w:tcW w:type="dxa" w:w="933"/>
          </w:tcPr>
          <w:p>
            <w:pPr>
              <w:pStyle w:val="null3"/>
            </w:pPr>
            <w:r>
              <w:rPr/>
              <w:t>详见附表二</w:t>
            </w:r>
          </w:p>
        </w:tc>
      </w:tr>
    </w:tbl>
    <w:p>
      <w:pPr>
        <w:pStyle w:val="null3"/>
      </w:pPr>
      <w:r>
        <w:rPr>
          <w:b/>
        </w:rPr>
        <w:t>附表</w:t>
      </w:r>
      <w:r>
        <w:rPr>
          <w:b/>
        </w:rPr>
        <w:t>一</w:t>
      </w:r>
      <w:r>
        <w:rPr>
          <w:b/>
        </w:rPr>
        <w:t>：</w:t>
      </w:r>
      <w:r>
        <w:rPr>
          <w:b/>
        </w:rPr>
        <w:t>民众街道民众分局视频监控运维升级改造项目</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pPr>
              <w:pStyle w:val="null3"/>
            </w:pPr>
            <w:r>
              <w:rPr/>
              <w:t>参数性质</w:t>
            </w:r>
          </w:p>
        </w:tc>
        <w:tc>
          <w:tcPr>
            <w:tcW w:type="dxa" w:w="415"/>
          </w:tcPr>
          <w:p>
            <w:pPr>
              <w:pStyle w:val="null3"/>
            </w:pPr>
            <w:r>
              <w:rPr/>
              <w:t>序号</w:t>
            </w:r>
          </w:p>
        </w:tc>
        <w:tc>
          <w:tcPr>
            <w:tcW w:type="dxa" w:w="5814"/>
          </w:tcPr>
          <w:p>
            <w:pPr>
              <w:pStyle w:val="null3"/>
            </w:pPr>
            <w:r>
              <w:rPr/>
              <w:t>具体技术(参数)要求</w:t>
            </w:r>
          </w:p>
        </w:tc>
      </w:tr>
      <w:tr>
        <w:tc>
          <w:tcPr>
            <w:tcW w:type="dxa" w:w="2076"/>
          </w:tcPr>
          <w:p>
            <w:pPr>
              <w:pStyle w:val="null3"/>
            </w:pPr>
            <w:r>
              <w:rPr/>
              <w:t>★</w:t>
            </w:r>
          </w:p>
        </w:tc>
        <w:tc>
          <w:tcPr>
            <w:tcW w:type="dxa" w:w="415"/>
          </w:tcPr>
          <w:p>
            <w:pPr>
              <w:pStyle w:val="null3"/>
            </w:pPr>
            <w:r>
              <w:rPr/>
              <w:t>1</w:t>
            </w:r>
          </w:p>
        </w:tc>
        <w:tc>
          <w:tcPr>
            <w:tcW w:type="dxa" w:w="5814"/>
          </w:tcPr>
          <w:p>
            <w:pPr>
              <w:pStyle w:val="null3"/>
              <w:jc w:val="both"/>
            </w:pPr>
            <w:r>
              <w:rPr>
                <w:sz w:val="21"/>
              </w:rPr>
              <w:t>★</w:t>
            </w:r>
            <w:r>
              <w:rPr>
                <w:sz w:val="21"/>
              </w:rPr>
              <w:t>5.</w:t>
            </w:r>
            <w:r>
              <w:rPr>
                <w:sz w:val="21"/>
              </w:rPr>
              <w:t>响应</w:t>
            </w:r>
            <w:r>
              <w:rPr>
                <w:sz w:val="21"/>
              </w:rPr>
              <w:t>供应商须承诺在项目发布结果公告后，</w:t>
            </w:r>
            <w:r>
              <w:rPr>
                <w:sz w:val="21"/>
              </w:rPr>
              <w:t>如</w:t>
            </w:r>
            <w:r>
              <w:rPr>
                <w:sz w:val="21"/>
              </w:rPr>
              <w:t>响应</w:t>
            </w:r>
            <w:r>
              <w:rPr>
                <w:sz w:val="21"/>
              </w:rPr>
              <w:t>供应商成交</w:t>
            </w:r>
            <w:r>
              <w:rPr>
                <w:sz w:val="21"/>
              </w:rPr>
              <w:t>，</w:t>
            </w:r>
            <w:r>
              <w:rPr>
                <w:sz w:val="21"/>
              </w:rPr>
              <w:t>可根据采购人要求提供项目投标所</w:t>
            </w:r>
            <w:r>
              <w:rPr>
                <w:sz w:val="21"/>
              </w:rPr>
              <w:t>使用</w:t>
            </w:r>
            <w:r>
              <w:rPr>
                <w:sz w:val="21"/>
              </w:rPr>
              <w:t>设备进行实际功能测试，采购人保留对采购需求中的设备参数进行实际测试的权利，测试结果与响应文件不符的视为虚假应标，按响应无效处理，导致整批设备被拒收和索赔，由此引发的所有损失由成交供应商负责，同时采购人有权另外选择成交供应商</w:t>
            </w:r>
            <w:r>
              <w:rPr>
                <w:sz w:val="21"/>
                <w:b/>
              </w:rPr>
              <w:t>（提供承诺函并加盖响应供应商公章，格式自拟）</w:t>
            </w:r>
            <w:r>
              <w:rPr>
                <w:sz w:val="21"/>
              </w:rPr>
              <w:t>。</w:t>
            </w:r>
          </w:p>
        </w:tc>
      </w:tr>
      <w:tr>
        <w:tc>
          <w:tcPr>
            <w:tcW w:type="dxa" w:w="2076"/>
          </w:tcPr>
          <w:p>
            <w:pPr>
              <w:pStyle w:val="null3"/>
            </w:pPr>
            <w:r>
              <w:rPr/>
              <w:t>★</w:t>
            </w:r>
          </w:p>
        </w:tc>
        <w:tc>
          <w:tcPr>
            <w:tcW w:type="dxa" w:w="415"/>
          </w:tcPr>
          <w:p>
            <w:pPr>
              <w:pStyle w:val="null3"/>
            </w:pPr>
            <w:r>
              <w:rPr/>
              <w:t>2</w:t>
            </w:r>
          </w:p>
        </w:tc>
        <w:tc>
          <w:tcPr>
            <w:tcW w:type="dxa" w:w="5814"/>
          </w:tcPr>
          <w:p>
            <w:pPr>
              <w:pStyle w:val="null3"/>
              <w:jc w:val="both"/>
            </w:pPr>
            <w:r>
              <w:rPr>
                <w:sz w:val="21"/>
              </w:rPr>
              <w:t>★</w:t>
            </w:r>
            <w:r>
              <w:rPr>
                <w:sz w:val="21"/>
              </w:rPr>
              <w:t>6.响应供应商须承诺在项目发布结果公告后，如响应供应商中标，可根据采购人要求提供项目投标所使用设备的检测报告原件备查，采购人保留对项目采购需求中设备参数逐条核对的权利，不能提供检测报告原件或检测报告原件与响应文件不符即视为虚假应标，按响应无效处理，导致整批</w:t>
            </w:r>
            <w:r>
              <w:rPr>
                <w:sz w:val="21"/>
              </w:rPr>
              <w:t>设备</w:t>
            </w:r>
            <w:r>
              <w:rPr>
                <w:sz w:val="21"/>
              </w:rPr>
              <w:t>被拒收和索赔，由此引发的所有损失由成交供应商负责，同时采购人有权另外选择成交供应商</w:t>
            </w:r>
            <w:r>
              <w:rPr>
                <w:sz w:val="21"/>
                <w:b/>
              </w:rPr>
              <w:t>（提供承诺函并加盖响应供应商公章，格式自拟）</w:t>
            </w:r>
            <w:r>
              <w:rPr>
                <w:sz w:val="21"/>
              </w:rPr>
              <w:t>。</w:t>
            </w:r>
          </w:p>
        </w:tc>
      </w:tr>
      <w:tr>
        <w:tc>
          <w:tcPr>
            <w:tcW w:type="dxa" w:w="2076"/>
          </w:tcPr>
          <w:p>
            <w:pPr>
              <w:pStyle w:val="null3"/>
            </w:pPr>
            <w:r>
              <w:rPr/>
              <w:t>▲</w:t>
            </w:r>
          </w:p>
        </w:tc>
        <w:tc>
          <w:tcPr>
            <w:tcW w:type="dxa" w:w="415"/>
          </w:tcPr>
          <w:p>
            <w:pPr>
              <w:pStyle w:val="null3"/>
            </w:pPr>
            <w:r>
              <w:rPr/>
              <w:t>3</w:t>
            </w:r>
          </w:p>
        </w:tc>
        <w:tc>
          <w:tcPr>
            <w:tcW w:type="dxa" w:w="5814"/>
          </w:tcPr>
          <w:p>
            <w:pPr>
              <w:pStyle w:val="null3"/>
              <w:spacing w:after="120"/>
              <w:jc w:val="both"/>
            </w:pPr>
            <w:r>
              <w:rPr>
                <w:sz w:val="21"/>
              </w:rPr>
              <w:t>▲</w:t>
            </w:r>
            <w:r>
              <w:rPr>
                <w:sz w:val="21"/>
              </w:rPr>
              <w:t>设备支持双路电动变倍聚焦及一键聚焦</w:t>
            </w:r>
            <w:r>
              <w:rPr>
                <w:sz w:val="21"/>
              </w:rPr>
              <w:t>。</w:t>
            </w:r>
          </w:p>
          <w:p>
            <w:pPr>
              <w:pStyle w:val="null3"/>
              <w:jc w:val="both"/>
            </w:pPr>
            <w:r>
              <w:rPr>
                <w:sz w:val="21"/>
              </w:rPr>
              <w:t>（提供报告首页具有</w:t>
            </w:r>
            <w:r>
              <w:rPr>
                <w:sz w:val="21"/>
              </w:rPr>
              <w:t>CNAS 和 CMA 标识的第三方检测报告复印件，并加盖厂商投标专用章或公章</w:t>
            </w:r>
            <w:r>
              <w:rPr>
                <w:sz w:val="21"/>
              </w:rPr>
              <w:t>，注明</w:t>
            </w:r>
            <w:r>
              <w:rPr>
                <w:sz w:val="21"/>
              </w:rPr>
              <w:t>采购</w:t>
            </w:r>
            <w:r>
              <w:rPr>
                <w:sz w:val="21"/>
              </w:rPr>
              <w:t>项目名称的水印</w:t>
            </w:r>
            <w:r>
              <w:rPr>
                <w:sz w:val="21"/>
              </w:rPr>
              <w:t>）</w:t>
            </w:r>
          </w:p>
        </w:tc>
      </w:tr>
      <w:tr>
        <w:tc>
          <w:tcPr>
            <w:tcW w:type="dxa" w:w="2076"/>
          </w:tcPr>
          <w:p>
            <w:pPr>
              <w:pStyle w:val="null3"/>
            </w:pPr>
            <w:r>
              <w:rPr/>
              <w:t>▲</w:t>
            </w:r>
          </w:p>
        </w:tc>
        <w:tc>
          <w:tcPr>
            <w:tcW w:type="dxa" w:w="415"/>
          </w:tcPr>
          <w:p>
            <w:pPr>
              <w:pStyle w:val="null3"/>
            </w:pPr>
            <w:r>
              <w:rPr/>
              <w:t>4</w:t>
            </w:r>
          </w:p>
        </w:tc>
        <w:tc>
          <w:tcPr>
            <w:tcW w:type="dxa" w:w="5814"/>
          </w:tcPr>
          <w:p>
            <w:pPr>
              <w:pStyle w:val="null3"/>
              <w:spacing w:after="120"/>
              <w:jc w:val="both"/>
            </w:pPr>
            <w:r>
              <w:rPr>
                <w:sz w:val="21"/>
              </w:rPr>
              <w:t>▲内置≥4个麦克风、≥2个扬声器</w:t>
            </w:r>
            <w:r>
              <w:rPr>
                <w:sz w:val="21"/>
              </w:rPr>
              <w:t>。</w:t>
            </w:r>
          </w:p>
          <w:p>
            <w:pPr>
              <w:pStyle w:val="null3"/>
              <w:jc w:val="both"/>
            </w:pPr>
            <w:r>
              <w:rPr>
                <w:sz w:val="21"/>
              </w:rPr>
              <w:t>（提供报告首页具有</w:t>
            </w:r>
            <w:r>
              <w:rPr>
                <w:sz w:val="21"/>
              </w:rPr>
              <w:t>CNAS和CMA 标识的第三方检测报告复印件，并加盖厂商投标专用章或公章</w:t>
            </w:r>
            <w:r>
              <w:rPr>
                <w:sz w:val="21"/>
              </w:rPr>
              <w:t>，注明</w:t>
            </w:r>
            <w:r>
              <w:rPr>
                <w:sz w:val="21"/>
              </w:rPr>
              <w:t>采购</w:t>
            </w:r>
            <w:r>
              <w:rPr>
                <w:sz w:val="21"/>
              </w:rPr>
              <w:t>项目名称的水印</w:t>
            </w:r>
            <w:r>
              <w:rPr>
                <w:sz w:val="21"/>
              </w:rPr>
              <w:t>）</w:t>
            </w:r>
          </w:p>
        </w:tc>
      </w:tr>
      <w:tr>
        <w:tc>
          <w:tcPr>
            <w:tcW w:type="dxa" w:w="2076"/>
          </w:tcPr>
          <w:p>
            <w:pPr>
              <w:pStyle w:val="null3"/>
            </w:pPr>
            <w:r>
              <w:rPr/>
              <w:t>▲</w:t>
            </w:r>
          </w:p>
        </w:tc>
        <w:tc>
          <w:tcPr>
            <w:tcW w:type="dxa" w:w="415"/>
          </w:tcPr>
          <w:p>
            <w:pPr>
              <w:pStyle w:val="null3"/>
            </w:pPr>
            <w:r>
              <w:rPr/>
              <w:t>5</w:t>
            </w:r>
          </w:p>
        </w:tc>
        <w:tc>
          <w:tcPr>
            <w:tcW w:type="dxa" w:w="5814"/>
          </w:tcPr>
          <w:p>
            <w:pPr>
              <w:pStyle w:val="null3"/>
              <w:spacing w:after="120"/>
              <w:jc w:val="both"/>
            </w:pPr>
            <w:r>
              <w:rPr>
                <w:sz w:val="21"/>
              </w:rPr>
              <w:t>▲</w:t>
            </w:r>
            <w:r>
              <w:rPr>
                <w:sz w:val="21"/>
              </w:rPr>
              <w:t>自带一体式抱箍支架，支持双向抱箍安装</w:t>
            </w:r>
            <w:r>
              <w:rPr>
                <w:sz w:val="21"/>
              </w:rPr>
              <w:t>。</w:t>
            </w:r>
          </w:p>
          <w:p>
            <w:pPr>
              <w:pStyle w:val="null3"/>
              <w:jc w:val="both"/>
            </w:pPr>
            <w:r>
              <w:rPr>
                <w:sz w:val="21"/>
              </w:rPr>
              <w:t>（提供报告首页具有</w:t>
            </w:r>
            <w:r>
              <w:rPr>
                <w:sz w:val="21"/>
              </w:rPr>
              <w:t>CNAS和CMA 标识的第三方检测报告复印件，并加盖厂商投标专用章或公章</w:t>
            </w:r>
            <w:r>
              <w:rPr>
                <w:sz w:val="21"/>
              </w:rPr>
              <w:t>，注明</w:t>
            </w:r>
            <w:r>
              <w:rPr>
                <w:sz w:val="21"/>
              </w:rPr>
              <w:t>采购</w:t>
            </w:r>
            <w:r>
              <w:rPr>
                <w:sz w:val="21"/>
              </w:rPr>
              <w:t>项目名称的水印</w:t>
            </w:r>
            <w:r>
              <w:rPr>
                <w:sz w:val="21"/>
              </w:rPr>
              <w:t>）</w:t>
            </w:r>
          </w:p>
        </w:tc>
      </w:tr>
      <w:tr>
        <w:tc>
          <w:tcPr>
            <w:tcW w:type="dxa" w:w="2076"/>
          </w:tcPr>
          <w:p>
            <w:pPr>
              <w:pStyle w:val="null3"/>
            </w:pPr>
            <w:r>
              <w:rPr/>
              <w:t>▲</w:t>
            </w:r>
          </w:p>
        </w:tc>
        <w:tc>
          <w:tcPr>
            <w:tcW w:type="dxa" w:w="415"/>
          </w:tcPr>
          <w:p>
            <w:pPr>
              <w:pStyle w:val="null3"/>
            </w:pPr>
            <w:r>
              <w:rPr/>
              <w:t>6</w:t>
            </w:r>
          </w:p>
        </w:tc>
        <w:tc>
          <w:tcPr>
            <w:tcW w:type="dxa" w:w="5814"/>
          </w:tcPr>
          <w:p>
            <w:pPr>
              <w:pStyle w:val="null3"/>
              <w:spacing w:after="120"/>
              <w:jc w:val="both"/>
            </w:pPr>
            <w:r>
              <w:rPr>
                <w:sz w:val="22"/>
              </w:rPr>
              <w:t>▲</w:t>
            </w:r>
            <w:r>
              <w:rPr>
                <w:sz w:val="21"/>
              </w:rPr>
              <w:t>支持智能分区补光</w:t>
            </w:r>
            <w:r>
              <w:rPr>
                <w:sz w:val="21"/>
              </w:rPr>
              <w:t>,实现画面多区域补光独立控制,并支持根据画面变化进行自动调节补光强度</w:t>
            </w:r>
            <w:r>
              <w:rPr>
                <w:sz w:val="21"/>
              </w:rPr>
              <w:t>。</w:t>
            </w:r>
          </w:p>
          <w:p>
            <w:pPr>
              <w:pStyle w:val="null3"/>
              <w:jc w:val="both"/>
            </w:pPr>
            <w:r>
              <w:rPr>
                <w:sz w:val="21"/>
              </w:rPr>
              <w:t>（提供报告首页具有</w:t>
            </w:r>
            <w:r>
              <w:rPr>
                <w:sz w:val="21"/>
              </w:rPr>
              <w:t>CNAS和CMA 标识的第三方检测报告复印件，并加盖厂商投标专用章或公章</w:t>
            </w:r>
            <w:r>
              <w:rPr>
                <w:sz w:val="21"/>
              </w:rPr>
              <w:t>，注明</w:t>
            </w:r>
            <w:r>
              <w:rPr>
                <w:sz w:val="21"/>
              </w:rPr>
              <w:t>采购</w:t>
            </w:r>
            <w:r>
              <w:rPr>
                <w:sz w:val="21"/>
              </w:rPr>
              <w:t>项目名称的水印</w:t>
            </w:r>
            <w:r>
              <w:rPr>
                <w:sz w:val="21"/>
              </w:rPr>
              <w:t>）</w:t>
            </w:r>
          </w:p>
        </w:tc>
      </w:tr>
      <w:tr>
        <w:tc>
          <w:tcPr>
            <w:tcW w:type="dxa" w:w="2076"/>
          </w:tcPr>
          <w:p>
            <w:pPr>
              <w:pStyle w:val="null3"/>
            </w:pPr>
            <w:r>
              <w:rPr/>
              <w:t>▲</w:t>
            </w:r>
          </w:p>
        </w:tc>
        <w:tc>
          <w:tcPr>
            <w:tcW w:type="dxa" w:w="415"/>
          </w:tcPr>
          <w:p>
            <w:pPr>
              <w:pStyle w:val="null3"/>
            </w:pPr>
            <w:r>
              <w:rPr/>
              <w:t>7</w:t>
            </w:r>
          </w:p>
        </w:tc>
        <w:tc>
          <w:tcPr>
            <w:tcW w:type="dxa" w:w="5814"/>
          </w:tcPr>
          <w:p>
            <w:pPr>
              <w:pStyle w:val="null3"/>
              <w:spacing w:after="120"/>
              <w:jc w:val="both"/>
            </w:pPr>
            <w:r>
              <w:rPr>
                <w:sz w:val="22"/>
              </w:rPr>
              <w:t>▲</w:t>
            </w:r>
            <w:r>
              <w:rPr>
                <w:sz w:val="21"/>
              </w:rPr>
              <w:t>可通过浏览器自定义旋转角度</w:t>
            </w:r>
            <w:r>
              <w:rPr>
                <w:sz w:val="21"/>
              </w:rPr>
              <w:t>,可一键调节云台至设置的角度</w:t>
            </w:r>
            <w:r>
              <w:rPr>
                <w:sz w:val="21"/>
              </w:rPr>
              <w:t>。</w:t>
            </w:r>
          </w:p>
          <w:p>
            <w:pPr>
              <w:pStyle w:val="null3"/>
              <w:jc w:val="both"/>
            </w:pPr>
            <w:r>
              <w:rPr>
                <w:sz w:val="21"/>
              </w:rPr>
              <w:t>（提供报告首页具有</w:t>
            </w:r>
            <w:r>
              <w:rPr>
                <w:sz w:val="21"/>
              </w:rPr>
              <w:t>CNAS和CMA 标识的第三方检测报告复印件，并加盖厂商投标专用章或公章</w:t>
            </w:r>
            <w:r>
              <w:rPr>
                <w:sz w:val="21"/>
              </w:rPr>
              <w:t>，注明</w:t>
            </w:r>
            <w:r>
              <w:rPr>
                <w:sz w:val="21"/>
              </w:rPr>
              <w:t>采购</w:t>
            </w:r>
            <w:r>
              <w:rPr>
                <w:sz w:val="21"/>
              </w:rPr>
              <w:t>项目名称的水印</w:t>
            </w:r>
            <w:r>
              <w:rPr>
                <w:sz w:val="21"/>
              </w:rPr>
              <w:t>）</w:t>
            </w:r>
          </w:p>
        </w:tc>
      </w:tr>
      <w:tr>
        <w:tc>
          <w:tcPr>
            <w:tcW w:type="dxa" w:w="2076"/>
          </w:tcPr>
          <w:p>
            <w:pPr>
              <w:pStyle w:val="null3"/>
            </w:pPr>
            <w:r>
              <w:rPr/>
              <w:t>▲</w:t>
            </w:r>
          </w:p>
        </w:tc>
        <w:tc>
          <w:tcPr>
            <w:tcW w:type="dxa" w:w="415"/>
          </w:tcPr>
          <w:p>
            <w:pPr>
              <w:pStyle w:val="null3"/>
            </w:pPr>
            <w:r>
              <w:rPr/>
              <w:t>8</w:t>
            </w:r>
          </w:p>
        </w:tc>
        <w:tc>
          <w:tcPr>
            <w:tcW w:type="dxa" w:w="5814"/>
          </w:tcPr>
          <w:p>
            <w:pPr>
              <w:pStyle w:val="null3"/>
              <w:spacing w:after="120"/>
              <w:jc w:val="both"/>
            </w:pPr>
            <w:r>
              <w:rPr>
                <w:sz w:val="22"/>
              </w:rPr>
              <w:t>▲</w:t>
            </w:r>
            <w:r>
              <w:rPr>
                <w:sz w:val="21"/>
              </w:rPr>
              <w:t>机身外壳内嵌圆形水平仪</w:t>
            </w:r>
            <w:r>
              <w:rPr>
                <w:sz w:val="21"/>
              </w:rPr>
              <w:t>,可检测设备前后方向、左右方向的水平程度</w:t>
            </w:r>
            <w:r>
              <w:rPr>
                <w:sz w:val="21"/>
              </w:rPr>
              <w:t>。</w:t>
            </w:r>
          </w:p>
          <w:p>
            <w:pPr>
              <w:pStyle w:val="null3"/>
              <w:jc w:val="both"/>
            </w:pPr>
            <w:r>
              <w:rPr>
                <w:sz w:val="21"/>
              </w:rPr>
              <w:t>（提供报告首页具有</w:t>
            </w:r>
            <w:r>
              <w:rPr>
                <w:sz w:val="21"/>
              </w:rPr>
              <w:t>CNAS和CMA 标识的第三方检测报告复印件，并加盖厂商投标专用章或公章</w:t>
            </w:r>
            <w:r>
              <w:rPr>
                <w:sz w:val="21"/>
              </w:rPr>
              <w:t>，注明</w:t>
            </w:r>
            <w:r>
              <w:rPr>
                <w:sz w:val="21"/>
              </w:rPr>
              <w:t>采购</w:t>
            </w:r>
            <w:r>
              <w:rPr>
                <w:sz w:val="21"/>
              </w:rPr>
              <w:t>项目名称的水印</w:t>
            </w:r>
            <w:r>
              <w:rPr>
                <w:sz w:val="21"/>
              </w:rPr>
              <w:t>）</w:t>
            </w:r>
          </w:p>
        </w:tc>
      </w:tr>
      <w:tr>
        <w:tc>
          <w:tcPr>
            <w:tcW w:type="dxa" w:w="2076"/>
          </w:tcPr>
          <w:p>
            <w:pPr>
              <w:pStyle w:val="null3"/>
            </w:pPr>
            <w:r>
              <w:rPr/>
              <w:t>▲</w:t>
            </w:r>
          </w:p>
        </w:tc>
        <w:tc>
          <w:tcPr>
            <w:tcW w:type="dxa" w:w="415"/>
          </w:tcPr>
          <w:p>
            <w:pPr>
              <w:pStyle w:val="null3"/>
            </w:pPr>
            <w:r>
              <w:rPr/>
              <w:t>9</w:t>
            </w:r>
          </w:p>
        </w:tc>
        <w:tc>
          <w:tcPr>
            <w:tcW w:type="dxa" w:w="5814"/>
          </w:tcPr>
          <w:p>
            <w:pPr>
              <w:pStyle w:val="null3"/>
              <w:jc w:val="both"/>
            </w:pPr>
            <w:r>
              <w:rPr>
                <w:sz w:val="22"/>
              </w:rPr>
              <w:t>▲</w:t>
            </w:r>
            <w:r>
              <w:rPr>
                <w:sz w:val="21"/>
              </w:rPr>
              <w:t>设备可远程实时控制全景通道水平转动</w:t>
            </w:r>
            <w:r>
              <w:rPr>
                <w:sz w:val="21"/>
              </w:rPr>
              <w:t>,转动范围在-30°-</w:t>
            </w:r>
            <w:r>
              <w:rPr>
                <w:sz w:val="21"/>
              </w:rPr>
              <w:t xml:space="preserve"> </w:t>
            </w:r>
            <w:r>
              <w:rPr>
                <w:sz w:val="21"/>
              </w:rPr>
              <w:t>+30°范围内可设</w:t>
            </w:r>
            <w:r>
              <w:rPr>
                <w:sz w:val="21"/>
              </w:rPr>
              <w:t>。</w:t>
            </w:r>
          </w:p>
          <w:p>
            <w:pPr>
              <w:pStyle w:val="null3"/>
              <w:jc w:val="both"/>
            </w:pPr>
            <w:r>
              <w:rPr>
                <w:sz w:val="21"/>
              </w:rPr>
              <w:t>（提供报告首页具有</w:t>
            </w:r>
            <w:r>
              <w:rPr>
                <w:sz w:val="21"/>
              </w:rPr>
              <w:t>CNAS和CMA 标识的第三方检测报告复印件，并加盖厂商投标专用章或公章</w:t>
            </w:r>
            <w:r>
              <w:rPr>
                <w:sz w:val="21"/>
              </w:rPr>
              <w:t>，注明</w:t>
            </w:r>
            <w:r>
              <w:rPr>
                <w:sz w:val="21"/>
              </w:rPr>
              <w:t>采购</w:t>
            </w:r>
            <w:r>
              <w:rPr>
                <w:sz w:val="21"/>
              </w:rPr>
              <w:t>项目名称的水印</w:t>
            </w:r>
            <w:r>
              <w:rPr>
                <w:sz w:val="21"/>
              </w:rPr>
              <w:t>）</w:t>
            </w:r>
          </w:p>
        </w:tc>
      </w:tr>
      <w:tr>
        <w:tc>
          <w:tcPr>
            <w:tcW w:type="dxa" w:w="2076"/>
          </w:tcPr>
          <w:p>
            <w:pPr>
              <w:pStyle w:val="null3"/>
            </w:pPr>
            <w:r>
              <w:rPr/>
              <w:t>▲</w:t>
            </w:r>
          </w:p>
        </w:tc>
        <w:tc>
          <w:tcPr>
            <w:tcW w:type="dxa" w:w="415"/>
          </w:tcPr>
          <w:p>
            <w:pPr>
              <w:pStyle w:val="null3"/>
            </w:pPr>
            <w:r>
              <w:rPr/>
              <w:t>10</w:t>
            </w:r>
          </w:p>
        </w:tc>
        <w:tc>
          <w:tcPr>
            <w:tcW w:type="dxa" w:w="5814"/>
          </w:tcPr>
          <w:p>
            <w:pPr>
              <w:pStyle w:val="null3"/>
              <w:jc w:val="both"/>
            </w:pPr>
            <w:r>
              <w:rPr>
                <w:sz w:val="22"/>
              </w:rPr>
              <w:t>▲</w:t>
            </w:r>
            <w:r>
              <w:rPr>
                <w:sz w:val="21"/>
              </w:rPr>
              <w:t>设备具有微云台功能</w:t>
            </w:r>
            <w:r>
              <w:rPr>
                <w:sz w:val="21"/>
              </w:rPr>
              <w:t>,可控制全景通道左右转动；可通过浏览器设置显示/隐藏微云台功能</w:t>
            </w:r>
            <w:r>
              <w:rPr>
                <w:sz w:val="21"/>
              </w:rPr>
              <w:t>。</w:t>
            </w:r>
          </w:p>
          <w:p>
            <w:pPr>
              <w:pStyle w:val="null3"/>
              <w:jc w:val="both"/>
            </w:pPr>
            <w:r>
              <w:rPr>
                <w:sz w:val="21"/>
              </w:rPr>
              <w:t>（提供报告首页具有</w:t>
            </w:r>
            <w:r>
              <w:rPr>
                <w:sz w:val="21"/>
              </w:rPr>
              <w:t>CNAS和CMA 标识的第三方检测报告复印件，并加盖厂商投标专用章或公章</w:t>
            </w:r>
            <w:r>
              <w:rPr>
                <w:sz w:val="21"/>
              </w:rPr>
              <w:t>，注明</w:t>
            </w:r>
            <w:r>
              <w:rPr>
                <w:sz w:val="21"/>
              </w:rPr>
              <w:t>采购</w:t>
            </w:r>
            <w:r>
              <w:rPr>
                <w:sz w:val="21"/>
              </w:rPr>
              <w:t>项目名称的水印</w:t>
            </w:r>
            <w:r>
              <w:rPr>
                <w:sz w:val="21"/>
              </w:rPr>
              <w:t>）</w:t>
            </w:r>
          </w:p>
        </w:tc>
      </w:tr>
      <w:tr>
        <w:tc>
          <w:tcPr>
            <w:tcW w:type="dxa" w:w="2076"/>
          </w:tcPr>
          <w:p>
            <w:pPr>
              <w:pStyle w:val="null3"/>
            </w:pPr>
            <w:r>
              <w:rPr/>
              <w:t>▲</w:t>
            </w:r>
          </w:p>
        </w:tc>
        <w:tc>
          <w:tcPr>
            <w:tcW w:type="dxa" w:w="415"/>
          </w:tcPr>
          <w:p>
            <w:pPr>
              <w:pStyle w:val="null3"/>
            </w:pPr>
            <w:r>
              <w:rPr/>
              <w:t>11</w:t>
            </w:r>
          </w:p>
        </w:tc>
        <w:tc>
          <w:tcPr>
            <w:tcW w:type="dxa" w:w="5814"/>
          </w:tcPr>
          <w:p>
            <w:pPr>
              <w:pStyle w:val="null3"/>
              <w:jc w:val="both"/>
            </w:pPr>
            <w:r>
              <w:rPr>
                <w:sz w:val="21"/>
              </w:rPr>
              <w:t>▲</w:t>
            </w:r>
            <w:r>
              <w:rPr>
                <w:sz w:val="21"/>
              </w:rPr>
              <w:t>自带水平仪可检测设备安装是否倾斜</w:t>
            </w:r>
            <w:r>
              <w:rPr>
                <w:sz w:val="21"/>
              </w:rPr>
              <w:t>。</w:t>
            </w:r>
          </w:p>
          <w:p>
            <w:pPr>
              <w:pStyle w:val="null3"/>
              <w:jc w:val="both"/>
            </w:pPr>
            <w:r>
              <w:rPr>
                <w:sz w:val="21"/>
              </w:rPr>
              <w:t>（提供报告首页具有</w:t>
            </w:r>
            <w:r>
              <w:rPr>
                <w:sz w:val="21"/>
              </w:rPr>
              <w:t>CNAS和CMA 标识的第三方检测报告复印件，并加盖厂商投标专用章或公章</w:t>
            </w:r>
            <w:r>
              <w:rPr>
                <w:sz w:val="21"/>
              </w:rPr>
              <w:t>，注明</w:t>
            </w:r>
            <w:r>
              <w:rPr>
                <w:sz w:val="21"/>
              </w:rPr>
              <w:t>采购</w:t>
            </w:r>
            <w:r>
              <w:rPr>
                <w:sz w:val="21"/>
              </w:rPr>
              <w:t>项目名称的水印</w:t>
            </w:r>
            <w:r>
              <w:rPr>
                <w:sz w:val="21"/>
              </w:rPr>
              <w:t>）</w:t>
            </w:r>
          </w:p>
        </w:tc>
      </w:tr>
      <w:tr>
        <w:tc>
          <w:tcPr>
            <w:tcW w:type="dxa" w:w="2076"/>
          </w:tcPr>
          <w:p>
            <w:pPr>
              <w:pStyle w:val="null3"/>
            </w:pPr>
            <w:r>
              <w:rPr/>
              <w:t>▲</w:t>
            </w:r>
          </w:p>
        </w:tc>
        <w:tc>
          <w:tcPr>
            <w:tcW w:type="dxa" w:w="415"/>
          </w:tcPr>
          <w:p>
            <w:pPr>
              <w:pStyle w:val="null3"/>
            </w:pPr>
            <w:r>
              <w:rPr/>
              <w:t>12</w:t>
            </w:r>
          </w:p>
        </w:tc>
        <w:tc>
          <w:tcPr>
            <w:tcW w:type="dxa" w:w="5814"/>
          </w:tcPr>
          <w:p>
            <w:pPr>
              <w:pStyle w:val="null3"/>
              <w:jc w:val="both"/>
            </w:pPr>
            <w:r>
              <w:rPr>
                <w:sz w:val="21"/>
              </w:rPr>
              <w:t>▲</w:t>
            </w:r>
            <w:r>
              <w:rPr>
                <w:sz w:val="21"/>
              </w:rPr>
              <w:t>音频编码格式支持</w:t>
            </w:r>
            <w:r>
              <w:rPr>
                <w:sz w:val="21"/>
              </w:rPr>
              <w:t>G.711alaw、G711ulaw、G.711A、PCM、G.711Mu、G.726、AAC、G.722、G729、MPEG2-layer2；音频采样率有8kHz、16kHz、32kHz、48kHz、64kHz；支持IPC复合音频输入，支持IPC复合音频输出</w:t>
            </w:r>
            <w:r>
              <w:rPr>
                <w:sz w:val="21"/>
              </w:rPr>
              <w:t>。</w:t>
            </w:r>
          </w:p>
          <w:p>
            <w:pPr>
              <w:pStyle w:val="null3"/>
              <w:jc w:val="both"/>
            </w:pPr>
            <w:r>
              <w:rPr>
                <w:sz w:val="21"/>
              </w:rPr>
              <w:t>（提供报告首页具有</w:t>
            </w:r>
            <w:r>
              <w:rPr>
                <w:sz w:val="21"/>
              </w:rPr>
              <w:t>CNAS</w:t>
            </w:r>
            <w:r>
              <w:rPr>
                <w:sz w:val="21"/>
              </w:rPr>
              <w:t>标识的第三方检测报告复印件，并加盖厂商投标专用章或公章</w:t>
            </w:r>
            <w:r>
              <w:rPr>
                <w:sz w:val="21"/>
              </w:rPr>
              <w:t>，注明</w:t>
            </w:r>
            <w:r>
              <w:rPr>
                <w:sz w:val="21"/>
              </w:rPr>
              <w:t>采购</w:t>
            </w:r>
            <w:r>
              <w:rPr>
                <w:sz w:val="21"/>
              </w:rPr>
              <w:t>项目名称的水印</w:t>
            </w:r>
            <w:r>
              <w:rPr>
                <w:sz w:val="21"/>
              </w:rPr>
              <w:t>）</w:t>
            </w:r>
          </w:p>
        </w:tc>
      </w:tr>
      <w:tr>
        <w:tc>
          <w:tcPr>
            <w:tcW w:type="dxa" w:w="2076"/>
          </w:tcPr>
          <w:p>
            <w:pPr>
              <w:pStyle w:val="null3"/>
            </w:pPr>
            <w:r>
              <w:rPr/>
              <w:t>▲</w:t>
            </w:r>
          </w:p>
        </w:tc>
        <w:tc>
          <w:tcPr>
            <w:tcW w:type="dxa" w:w="415"/>
          </w:tcPr>
          <w:p>
            <w:pPr>
              <w:pStyle w:val="null3"/>
            </w:pPr>
            <w:r>
              <w:rPr/>
              <w:t>13</w:t>
            </w:r>
          </w:p>
        </w:tc>
        <w:tc>
          <w:tcPr>
            <w:tcW w:type="dxa" w:w="5814"/>
          </w:tcPr>
          <w:p>
            <w:pPr>
              <w:pStyle w:val="null3"/>
              <w:jc w:val="both"/>
            </w:pPr>
            <w:r>
              <w:rPr>
                <w:sz w:val="21"/>
              </w:rPr>
              <w:t>▲</w:t>
            </w:r>
            <w:r>
              <w:rPr>
                <w:sz w:val="21"/>
              </w:rPr>
              <w:t>支持创建人脸名单库，最大支持</w:t>
            </w:r>
            <w:r>
              <w:rPr>
                <w:sz w:val="21"/>
              </w:rPr>
              <w:t>128个人脸库，人脸库最多支持100万人脸库，可创建路人库，路人库最多支持50万人脸抓拍图片，可通过U盘、PC客户端、设备本地人脸检索结果导入人脸名单图片，可批量导入导出人脸库图片,最大支持3840×2160像素人脸照片导入，支持对单个或多个通道进行布控，布控对象可为单个人脸库或多个人脸库，人脸对比相似度阈值可设</w:t>
            </w:r>
            <w:r>
              <w:rPr>
                <w:sz w:val="21"/>
              </w:rPr>
              <w:t>。</w:t>
            </w:r>
          </w:p>
          <w:p>
            <w:pPr>
              <w:pStyle w:val="null3"/>
              <w:jc w:val="both"/>
            </w:pPr>
            <w:r>
              <w:rPr>
                <w:sz w:val="21"/>
              </w:rPr>
              <w:t>（提供报告首页具有</w:t>
            </w:r>
            <w:r>
              <w:rPr>
                <w:sz w:val="21"/>
              </w:rPr>
              <w:t>CNAS 标识的第三方检测报告复印件，并加盖厂商投标专用章或公章</w:t>
            </w:r>
            <w:r>
              <w:rPr>
                <w:sz w:val="21"/>
              </w:rPr>
              <w:t>，注明</w:t>
            </w:r>
            <w:r>
              <w:rPr>
                <w:sz w:val="21"/>
              </w:rPr>
              <w:t>采购</w:t>
            </w:r>
            <w:r>
              <w:rPr>
                <w:sz w:val="21"/>
              </w:rPr>
              <w:t>项目名称的水印</w:t>
            </w:r>
            <w:r>
              <w:rPr>
                <w:sz w:val="21"/>
              </w:rPr>
              <w:t>）</w:t>
            </w:r>
          </w:p>
        </w:tc>
      </w:tr>
      <w:tr>
        <w:tc>
          <w:tcPr>
            <w:tcW w:type="dxa" w:w="2076"/>
          </w:tcPr>
          <w:p>
            <w:pPr>
              <w:pStyle w:val="null3"/>
            </w:pPr>
            <w:r>
              <w:rPr/>
              <w:t>▲</w:t>
            </w:r>
          </w:p>
        </w:tc>
        <w:tc>
          <w:tcPr>
            <w:tcW w:type="dxa" w:w="415"/>
          </w:tcPr>
          <w:p>
            <w:pPr>
              <w:pStyle w:val="null3"/>
            </w:pPr>
            <w:r>
              <w:rPr/>
              <w:t>14</w:t>
            </w:r>
          </w:p>
        </w:tc>
        <w:tc>
          <w:tcPr>
            <w:tcW w:type="dxa" w:w="5814"/>
          </w:tcPr>
          <w:p>
            <w:pPr>
              <w:pStyle w:val="null3"/>
              <w:jc w:val="both"/>
            </w:pPr>
            <w:r>
              <w:rPr>
                <w:sz w:val="21"/>
              </w:rPr>
              <w:t>▲</w:t>
            </w:r>
            <w:r>
              <w:rPr>
                <w:sz w:val="21"/>
              </w:rPr>
              <w:t>支持鼠标双击搜索列表中的设备进行添加。支持同时选择多个设备进行一键添加。支持手动输入</w:t>
            </w:r>
            <w:r>
              <w:rPr>
                <w:sz w:val="21"/>
              </w:rPr>
              <w:t>IP地址、端口、用户名、密码等信息的方式对设备进行添加</w:t>
            </w:r>
            <w:r>
              <w:rPr>
                <w:sz w:val="21"/>
              </w:rPr>
              <w:t>。</w:t>
            </w:r>
          </w:p>
          <w:p>
            <w:pPr>
              <w:pStyle w:val="null3"/>
              <w:jc w:val="both"/>
            </w:pPr>
            <w:r>
              <w:rPr>
                <w:sz w:val="21"/>
              </w:rPr>
              <w:t>（提供报告首页具有</w:t>
            </w:r>
            <w:r>
              <w:rPr>
                <w:sz w:val="21"/>
              </w:rPr>
              <w:t>CNAS 标识的第三方检测报告复印件，并加盖厂商投标专用章或公章</w:t>
            </w:r>
            <w:r>
              <w:rPr>
                <w:sz w:val="21"/>
              </w:rPr>
              <w:t>，注明</w:t>
            </w:r>
            <w:r>
              <w:rPr>
                <w:sz w:val="21"/>
              </w:rPr>
              <w:t>采购</w:t>
            </w:r>
            <w:r>
              <w:rPr>
                <w:sz w:val="21"/>
              </w:rPr>
              <w:t>项目名称的水印</w:t>
            </w:r>
            <w:r>
              <w:rPr>
                <w:sz w:val="21"/>
              </w:rPr>
              <w:t>）</w:t>
            </w:r>
          </w:p>
        </w:tc>
      </w:tr>
      <w:tr>
        <w:tc>
          <w:tcPr>
            <w:tcW w:type="dxa" w:w="2076"/>
          </w:tcPr>
          <w:p>
            <w:pPr>
              <w:pStyle w:val="null3"/>
            </w:pPr>
            <w:r>
              <w:rPr/>
              <w:t>▲</w:t>
            </w:r>
          </w:p>
        </w:tc>
        <w:tc>
          <w:tcPr>
            <w:tcW w:type="dxa" w:w="415"/>
          </w:tcPr>
          <w:p>
            <w:pPr>
              <w:pStyle w:val="null3"/>
            </w:pPr>
            <w:r>
              <w:rPr/>
              <w:t>15</w:t>
            </w:r>
          </w:p>
        </w:tc>
        <w:tc>
          <w:tcPr>
            <w:tcW w:type="dxa" w:w="5814"/>
          </w:tcPr>
          <w:p>
            <w:pPr>
              <w:pStyle w:val="null3"/>
              <w:jc w:val="both"/>
            </w:pPr>
            <w:r>
              <w:rPr>
                <w:sz w:val="21"/>
              </w:rPr>
              <w:t>▲</w:t>
            </w:r>
            <w:r>
              <w:rPr>
                <w:sz w:val="21"/>
              </w:rPr>
              <w:t>设备应自动记录与设备信息安全相关的日志信息，作为独立的安全日志</w:t>
            </w:r>
            <w:r>
              <w:rPr>
                <w:sz w:val="21"/>
              </w:rPr>
              <w:t>,内容包括用户登录/登出、重要和敏感操作、安全事件等,并划分独立的记录空间存储安全日志,其它日志信息不能覆盖安全日志</w:t>
            </w:r>
            <w:r>
              <w:rPr>
                <w:sz w:val="21"/>
              </w:rPr>
              <w:t>。</w:t>
            </w:r>
          </w:p>
          <w:p>
            <w:pPr>
              <w:pStyle w:val="null3"/>
              <w:jc w:val="both"/>
            </w:pPr>
            <w:r>
              <w:rPr>
                <w:sz w:val="21"/>
              </w:rPr>
              <w:t>（提供报告首页具有</w:t>
            </w:r>
            <w:r>
              <w:rPr>
                <w:sz w:val="21"/>
              </w:rPr>
              <w:t>CNAS 标识的第三方检测报告复印件，并加盖厂商投标专用章或公章</w:t>
            </w:r>
            <w:r>
              <w:rPr>
                <w:sz w:val="21"/>
              </w:rPr>
              <w:t>，注明</w:t>
            </w:r>
            <w:r>
              <w:rPr>
                <w:sz w:val="21"/>
              </w:rPr>
              <w:t>采购</w:t>
            </w:r>
            <w:r>
              <w:rPr>
                <w:sz w:val="21"/>
              </w:rPr>
              <w:t>项目名称的水印</w:t>
            </w:r>
            <w:r>
              <w:rPr>
                <w:sz w:val="21"/>
              </w:rPr>
              <w:t>）</w:t>
            </w:r>
          </w:p>
        </w:tc>
      </w:tr>
      <w:tr>
        <w:tc>
          <w:tcPr>
            <w:tcW w:type="dxa" w:w="2076"/>
          </w:tcPr>
          <w:p>
            <w:pPr>
              <w:pStyle w:val="null3"/>
            </w:pPr>
            <w:r>
              <w:rPr/>
              <w:t>▲</w:t>
            </w:r>
          </w:p>
        </w:tc>
        <w:tc>
          <w:tcPr>
            <w:tcW w:type="dxa" w:w="415"/>
          </w:tcPr>
          <w:p>
            <w:pPr>
              <w:pStyle w:val="null3"/>
            </w:pPr>
            <w:r>
              <w:rPr/>
              <w:t>16</w:t>
            </w:r>
          </w:p>
        </w:tc>
        <w:tc>
          <w:tcPr>
            <w:tcW w:type="dxa" w:w="5814"/>
          </w:tcPr>
          <w:p>
            <w:pPr>
              <w:pStyle w:val="null3"/>
              <w:spacing w:after="120"/>
              <w:jc w:val="both"/>
            </w:pPr>
            <w:r>
              <w:rPr>
                <w:sz w:val="21"/>
              </w:rPr>
              <w:t>▲</w:t>
            </w:r>
            <w:r>
              <w:rPr>
                <w:sz w:val="21"/>
              </w:rPr>
              <w:t>支持任意</w:t>
            </w:r>
            <w:r>
              <w:rPr>
                <w:sz w:val="21"/>
              </w:rPr>
              <w:t>N 台设备（N≥2） 通过 SAS数据线组成环状结构集群， 设备集群之间数据能够通过环状结构进行传递和通信， 其中任意 1 台设备都可以访问其下游设备中的数据</w:t>
            </w:r>
            <w:r>
              <w:rPr>
                <w:sz w:val="21"/>
              </w:rPr>
              <w:t>。</w:t>
            </w:r>
          </w:p>
          <w:p>
            <w:pPr>
              <w:pStyle w:val="null3"/>
              <w:jc w:val="both"/>
            </w:pPr>
            <w:r>
              <w:rPr>
                <w:sz w:val="21"/>
              </w:rPr>
              <w:t>（提供报告首页具有</w:t>
            </w:r>
            <w:r>
              <w:rPr>
                <w:sz w:val="21"/>
              </w:rPr>
              <w:t>CNAS 和 CMA 标识的第三方检测报告复印件，并加盖厂商投标专用章或公章</w:t>
            </w:r>
            <w:r>
              <w:rPr>
                <w:sz w:val="21"/>
              </w:rPr>
              <w:t>，注明</w:t>
            </w:r>
            <w:r>
              <w:rPr>
                <w:sz w:val="21"/>
              </w:rPr>
              <w:t>采购</w:t>
            </w:r>
            <w:r>
              <w:rPr>
                <w:sz w:val="21"/>
              </w:rPr>
              <w:t>项目名称的水印</w:t>
            </w:r>
            <w:r>
              <w:rPr>
                <w:sz w:val="21"/>
              </w:rPr>
              <w:t>）</w:t>
            </w:r>
          </w:p>
        </w:tc>
      </w:tr>
      <w:tr>
        <w:tc>
          <w:tcPr>
            <w:tcW w:type="dxa" w:w="2076"/>
          </w:tcPr>
          <w:p>
            <w:pPr>
              <w:pStyle w:val="null3"/>
            </w:pPr>
            <w:r>
              <w:rPr/>
              <w:t>▲</w:t>
            </w:r>
          </w:p>
        </w:tc>
        <w:tc>
          <w:tcPr>
            <w:tcW w:type="dxa" w:w="415"/>
          </w:tcPr>
          <w:p>
            <w:pPr>
              <w:pStyle w:val="null3"/>
            </w:pPr>
            <w:r>
              <w:rPr/>
              <w:t>17</w:t>
            </w:r>
          </w:p>
        </w:tc>
        <w:tc>
          <w:tcPr>
            <w:tcW w:type="dxa" w:w="5814"/>
          </w:tcPr>
          <w:p>
            <w:pPr>
              <w:pStyle w:val="null3"/>
              <w:spacing w:after="120"/>
              <w:jc w:val="both"/>
            </w:pPr>
            <w:r>
              <w:rPr>
                <w:sz w:val="21"/>
              </w:rPr>
              <w:t>▲</w:t>
            </w:r>
            <w:r>
              <w:rPr>
                <w:sz w:val="21"/>
              </w:rPr>
              <w:t>支持多台设备组成</w:t>
            </w:r>
            <w:r>
              <w:rPr>
                <w:sz w:val="21"/>
              </w:rPr>
              <w:t>SAS 数据环集群，当环状结构上的任意 1 个节点出现故障（包括主控盒硬件故障、 软件故障或者网络故障等）， 该节点设备上的硬盘通过 SAS 链路被上游设备接管， 该节点设备的上业务也会迁移到上游设备继续执行， 从而实现业务不中断、录像不丢失， 同时该故障设备的硬盘中数据可以被上游设备读取</w:t>
            </w:r>
            <w:r>
              <w:rPr>
                <w:sz w:val="21"/>
              </w:rPr>
              <w:t>。</w:t>
            </w:r>
          </w:p>
          <w:p>
            <w:pPr>
              <w:pStyle w:val="null3"/>
              <w:jc w:val="both"/>
            </w:pPr>
            <w:r>
              <w:rPr>
                <w:sz w:val="21"/>
              </w:rPr>
              <w:t>（提供报告首页具有</w:t>
            </w:r>
            <w:r>
              <w:rPr>
                <w:sz w:val="21"/>
              </w:rPr>
              <w:t>CNAS 和 CMA 标识的第三方检测报告复印件，并加盖厂商投标专用章或公章</w:t>
            </w:r>
            <w:r>
              <w:rPr>
                <w:sz w:val="21"/>
              </w:rPr>
              <w:t>，注明</w:t>
            </w:r>
            <w:r>
              <w:rPr>
                <w:sz w:val="21"/>
              </w:rPr>
              <w:t>采购</w:t>
            </w:r>
            <w:r>
              <w:rPr>
                <w:sz w:val="21"/>
              </w:rPr>
              <w:t>项目名称的水印</w:t>
            </w:r>
            <w:r>
              <w:rPr>
                <w:sz w:val="21"/>
              </w:rPr>
              <w:t>）</w:t>
            </w:r>
          </w:p>
        </w:tc>
      </w:tr>
      <w:tr>
        <w:tc>
          <w:tcPr>
            <w:tcW w:type="dxa" w:w="2076"/>
          </w:tcPr>
          <w:p>
            <w:pPr>
              <w:pStyle w:val="null3"/>
            </w:pPr>
            <w:r>
              <w:rPr/>
              <w:t>▲</w:t>
            </w:r>
          </w:p>
        </w:tc>
        <w:tc>
          <w:tcPr>
            <w:tcW w:type="dxa" w:w="415"/>
          </w:tcPr>
          <w:p>
            <w:pPr>
              <w:pStyle w:val="null3"/>
            </w:pPr>
            <w:r>
              <w:rPr/>
              <w:t>18</w:t>
            </w:r>
          </w:p>
        </w:tc>
        <w:tc>
          <w:tcPr>
            <w:tcW w:type="dxa" w:w="5814"/>
          </w:tcPr>
          <w:p>
            <w:pPr>
              <w:pStyle w:val="null3"/>
              <w:spacing w:after="120"/>
              <w:jc w:val="both"/>
            </w:pPr>
            <w:r>
              <w:rPr>
                <w:sz w:val="21"/>
              </w:rPr>
              <w:t>▲</w:t>
            </w:r>
            <w:r>
              <w:rPr>
                <w:sz w:val="21"/>
              </w:rPr>
              <w:t>设备具有液晶屏提示、报警指示灯提示、</w:t>
            </w:r>
            <w:r>
              <w:rPr>
                <w:sz w:val="21"/>
              </w:rPr>
              <w:t>SNMP Trap、声音提示、Email报警等报警方式，可对IP冲突、网口降速、电源故障、风扇故障、无硬盘、存储错误、存储空间满、RAID异常、录像丢帧、Mac冲突、登陆锁定、网络安全异常、SSD健康异常、无热备盘等情况进行报警</w:t>
            </w:r>
            <w:r>
              <w:rPr>
                <w:sz w:val="21"/>
              </w:rPr>
              <w:t>。</w:t>
            </w:r>
          </w:p>
          <w:p>
            <w:pPr>
              <w:pStyle w:val="null3"/>
              <w:jc w:val="both"/>
            </w:pPr>
            <w:r>
              <w:rPr>
                <w:sz w:val="21"/>
              </w:rPr>
              <w:t>（提供报告首页具有</w:t>
            </w:r>
            <w:r>
              <w:rPr>
                <w:sz w:val="21"/>
              </w:rPr>
              <w:t>CNAS 和 CMA 标识的第三方检测报告复印件，并加盖厂商投标专用章或公章</w:t>
            </w:r>
            <w:r>
              <w:rPr>
                <w:sz w:val="21"/>
              </w:rPr>
              <w:t>，注明</w:t>
            </w:r>
            <w:r>
              <w:rPr>
                <w:sz w:val="21"/>
              </w:rPr>
              <w:t>采购</w:t>
            </w:r>
            <w:r>
              <w:rPr>
                <w:sz w:val="21"/>
              </w:rPr>
              <w:t>项目名称的水印</w:t>
            </w:r>
            <w:r>
              <w:rPr>
                <w:sz w:val="21"/>
              </w:rPr>
              <w:t>）</w:t>
            </w:r>
          </w:p>
        </w:tc>
      </w:tr>
      <w:tr>
        <w:tc>
          <w:tcPr>
            <w:tcW w:type="dxa" w:w="2076"/>
          </w:tcPr>
          <w:p>
            <w:pPr>
              <w:pStyle w:val="null3"/>
            </w:pPr>
            <w:r>
              <w:rPr/>
              <w:t>说明</w:t>
            </w:r>
          </w:p>
        </w:tc>
        <w:tc>
          <w:tcPr>
            <w:tcW w:type="dxa" w:w="6229"/>
            <w:gridSpan w:val="2"/>
          </w:tcPr>
          <w:p>
            <w:pPr>
              <w:pStyle w:val="null3"/>
              <w:jc w:val="left"/>
            </w:pPr>
            <w:r>
              <w:rPr/>
              <w:t xml:space="preserve"> 打“★”号条款为实质性条款，若有任何一条负偏离或不满足则导致投标无效。 </w:t>
            </w:r>
            <w:r>
              <w:br/>
            </w:r>
            <w:r>
              <w:rPr/>
              <w:t>打“▲”号条款为重要技术参数，若有部分“▲”条款未响应或不满足，不作为无效投标条款。</w:t>
            </w:r>
          </w:p>
        </w:tc>
      </w:tr>
    </w:tbl>
    <w:p>
      <w:pPr>
        <w:pStyle w:val="null3"/>
      </w:pPr>
      <w:r>
        <w:rPr>
          <w:b/>
        </w:rPr>
        <w:t>附表</w:t>
      </w:r>
      <w:r>
        <w:rPr>
          <w:b/>
        </w:rPr>
        <w:t>二</w:t>
      </w:r>
      <w:r>
        <w:rPr>
          <w:b/>
        </w:rPr>
        <w:t>：</w:t>
      </w:r>
      <w:r>
        <w:rPr>
          <w:b/>
        </w:rPr>
        <w:t>400w高清智能球型摄像机</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pPr>
              <w:pStyle w:val="null3"/>
            </w:pPr>
            <w:r>
              <w:rPr/>
              <w:t>参数性质</w:t>
            </w:r>
          </w:p>
        </w:tc>
        <w:tc>
          <w:tcPr>
            <w:tcW w:type="dxa" w:w="415"/>
          </w:tcPr>
          <w:p>
            <w:pPr>
              <w:pStyle w:val="null3"/>
            </w:pPr>
            <w:r>
              <w:rPr/>
              <w:t>序号</w:t>
            </w:r>
          </w:p>
        </w:tc>
        <w:tc>
          <w:tcPr>
            <w:tcW w:type="dxa" w:w="5814"/>
          </w:tcPr>
          <w:p>
            <w:pPr>
              <w:pStyle w:val="null3"/>
            </w:pPr>
            <w:r>
              <w:rPr/>
              <w:t>具体技术(参数)要求</w:t>
            </w:r>
          </w:p>
        </w:tc>
      </w:tr>
      <w:tr>
        <w:tc>
          <w:tcPr>
            <w:tcW w:type="dxa" w:w="2076"/>
          </w:tcPr>
          <w:p/>
        </w:tc>
        <w:tc>
          <w:tcPr>
            <w:tcW w:type="dxa" w:w="415"/>
          </w:tcPr>
          <w:p>
            <w:pPr>
              <w:pStyle w:val="null3"/>
            </w:pPr>
            <w:r>
              <w:rPr/>
              <w:t>1</w:t>
            </w:r>
          </w:p>
        </w:tc>
        <w:tc>
          <w:tcPr>
            <w:tcW w:type="dxa" w:w="5814"/>
          </w:tcPr>
          <w:p>
            <w:pPr>
              <w:pStyle w:val="null3"/>
              <w:jc w:val="both"/>
            </w:pPr>
            <w:r>
              <w:rPr>
                <w:sz w:val="21"/>
              </w:rPr>
              <w:t>详见第二章采购需求</w:t>
            </w:r>
            <w:r>
              <w:rPr>
                <w:sz w:val="21"/>
              </w:rPr>
              <w:t>中</w:t>
            </w:r>
            <w:r>
              <w:rPr>
                <w:sz w:val="21"/>
              </w:rPr>
              <w:t>400w</w:t>
            </w:r>
            <w:r>
              <w:rPr>
                <w:sz w:val="21"/>
              </w:rPr>
              <w:t>高清智能球型摄像机</w:t>
            </w:r>
            <w:r>
              <w:rPr>
                <w:sz w:val="21"/>
              </w:rPr>
              <w:t>的技术参数。</w:t>
            </w:r>
          </w:p>
        </w:tc>
      </w:tr>
      <w:tr>
        <w:tc>
          <w:tcPr>
            <w:tcW w:type="dxa" w:w="2076"/>
          </w:tcPr>
          <w:p>
            <w:pPr>
              <w:pStyle w:val="null3"/>
            </w:pPr>
            <w:r>
              <w:rPr/>
              <w:t>说明</w:t>
            </w:r>
          </w:p>
        </w:tc>
        <w:tc>
          <w:tcPr>
            <w:tcW w:type="dxa" w:w="6229"/>
            <w:gridSpan w:val="2"/>
          </w:tcPr>
          <w:p>
            <w:pPr>
              <w:pStyle w:val="null3"/>
              <w:jc w:val="left"/>
            </w:pPr>
            <w:r>
              <w:rPr/>
              <w:t xml:space="preserve"> 打“★”号条款为实质性条款，若有任何一条负偏离或不满足则导致投标无效。 </w:t>
            </w:r>
            <w:r>
              <w:br/>
            </w:r>
            <w:r>
              <w:rPr/>
              <w:t>打“▲”号条款为重要技术参数，若有部分“▲”条款未响应或不满足，不作为无效投标条款。</w:t>
            </w:r>
          </w:p>
        </w:tc>
      </w:tr>
    </w:tbl>
    <w:p>
      <w:pPr>
        <w:pStyle w:val="null3"/>
      </w:pPr>
      <w:r>
        <w:rPr/>
        <w:t xml:space="preserve">  </w:t>
      </w:r>
    </w:p>
    <w:p>
      <w:pPr>
        <w:pStyle w:val="null3"/>
        <w:jc w:val="center"/>
        <w:outlineLvl w:val="1"/>
      </w:pPr>
      <w:r>
        <w:rPr>
          <w:sz w:val="36"/>
          <w:b/>
        </w:rPr>
        <w:t>第三章 供应商须知</w:t>
      </w:r>
    </w:p>
    <w:p>
      <w:pPr>
        <w:pStyle w:val="null3"/>
        <w:ind w:firstLine="480"/>
      </w:pPr>
      <w:r>
        <w:rPr/>
        <w:t xml:space="preserve"> 供应商必须认真阅读磋商文件中所有的事项、格式、条款和采购需求等。供应商没有按照磋商文件要求提交全部资料，或者响应文件没有对磋商文件在各方面都做出实质性响应的可能导致其响应无效或被拒绝。</w:t>
      </w:r>
    </w:p>
    <w:p>
      <w:pPr>
        <w:pStyle w:val="null3"/>
        <w:ind w:firstLine="480"/>
      </w:pPr>
      <w:r>
        <w:rPr/>
        <w:t>请注意：供应商需在响应文件截止时间前，将加密响应文件上传至云平台项目采购系统中并取得回执，逾期上传或错误方式投递送达将导致响应无效。</w:t>
      </w:r>
    </w:p>
    <w:p>
      <w:pPr>
        <w:pStyle w:val="null3"/>
        <w:outlineLvl w:val="3"/>
      </w:pPr>
      <w:r>
        <w:rPr>
          <w:sz w:val="24"/>
          <w:b/>
        </w:rPr>
        <w:t>一、名词解释</w:t>
      </w:r>
    </w:p>
    <w:p>
      <w:pPr>
        <w:pStyle w:val="null3"/>
        <w:ind w:firstLine="480"/>
      </w:pPr>
      <w:r>
        <w:rPr/>
        <w:t>1.采购代理机构：本项目是指广东省建东工程监理有限公司中山分公司，负责整个采购活动的组织，依法负责编制和发布磋商文件，对磋商文件拥有最终的解释权，不以任何身份出任磋商小组成员。</w:t>
      </w:r>
    </w:p>
    <w:p>
      <w:pPr>
        <w:pStyle w:val="null3"/>
        <w:ind w:firstLine="480"/>
      </w:pPr>
      <w:r>
        <w:rPr/>
        <w:t xml:space="preserve"> 2.采购人：本项目是指</w:t>
      </w:r>
      <w:r>
        <w:rPr/>
        <w:t>中山市公安局民众分局</w:t>
      </w:r>
      <w:r>
        <w:rPr/>
        <w:t>，是采购活动当事人之一，负责项目的整体规划、技术方案可行性设计论证与实施，作为合同采购方（用户）的主体承担质疑回复、履行合同、验收与评价等义务。</w:t>
      </w:r>
    </w:p>
    <w:p>
      <w:pPr>
        <w:pStyle w:val="null3"/>
        <w:ind w:firstLine="480"/>
      </w:pPr>
      <w:r>
        <w:rPr/>
        <w:t>3.供应商：是指在云平台项目采购系统完成本项目响应登记并提交电子响应文件的供应商。</w:t>
      </w:r>
    </w:p>
    <w:p>
      <w:pPr>
        <w:pStyle w:val="null3"/>
        <w:ind w:firstLine="480"/>
      </w:pPr>
      <w:r>
        <w:rPr/>
        <w:t>4.“磋商小组”是指根据《中华人民共和国政府采购法》等法律法规规定，由采购人代表和有关专家组成以确定成交供应商或者推荐成交候选供应商的临时组织。</w:t>
      </w:r>
    </w:p>
    <w:p>
      <w:pPr>
        <w:pStyle w:val="null3"/>
        <w:ind w:firstLine="480"/>
      </w:pPr>
      <w:r>
        <w:rPr/>
        <w:t>5.“成交供应商”是指经磋商小组评审确定的对磋商文件做出实质性响应，经采购人按照规定在磋商小组推荐的成交候选供应商中确定的或磋商小组受采购人委托直接确认的供应商。</w:t>
      </w:r>
    </w:p>
    <w:p>
      <w:pPr>
        <w:pStyle w:val="null3"/>
        <w:ind w:firstLine="480"/>
      </w:pPr>
      <w:r>
        <w:rPr/>
        <w:t>6.磋商文件：是指包括磋商公告和磋商文件及其补充、变更和澄清等一系列文件。</w:t>
      </w:r>
    </w:p>
    <w:p>
      <w:pPr>
        <w:pStyle w:val="null3"/>
        <w:ind w:firstLine="480"/>
      </w:pPr>
      <w:r>
        <w:rPr/>
        <w:t>7.电子响应文件：是指使用云平台提供的投标客户端制作加密并上传到系统的响应文件。（投标客户端制作响应文件时，生成的后缀为“.标书”的文件）</w:t>
      </w:r>
    </w:p>
    <w:p>
      <w:pPr>
        <w:pStyle w:val="null3"/>
        <w:ind w:firstLine="480"/>
      </w:pPr>
      <w:r>
        <w:rPr/>
        <w:t>8.备用电子响应文件：是指使用云平台提供的投标客户端制作电子响应文件时，同时生成的同一版本的备用响应文件。（投标客户端制作响应文件时，生成的后缀为“.备用标书”的文件）</w:t>
      </w:r>
    </w:p>
    <w:p>
      <w:pPr>
        <w:pStyle w:val="null3"/>
        <w:ind w:firstLine="480"/>
      </w:pPr>
      <w:r>
        <w:rPr/>
        <w:t xml:space="preserve"> 9.电子签名和电子印章：是指获得中华人民共和国工业和信息化部颁发的《电子认证服务许可证》、国家密码管理局颁发的《电子认证服务使用密码许可证》的资质，具备承担因数字证书原因产生纠纷的相关责任的能力，且在广东省内具有数量基础和服务能力的依法设立的电子认证服务机构签发的电子签名和电子签章认证证书（即CA数字证书）。供应商应当到相关服务机构办理并取得数字证书介质和应用。电子签名包括单位法定代表人、被委托人及其他个人的电子形式签名；电子印章包括机构法人电子形式印章。电子签名及电子印章与手写签名或者盖章具有同等的法律效力。签名（含电子签名）和盖章（含电子印章）是不同使用场景，应按招标文件要求在投标（响应）文件指定位置进行签名（含电子签名）和盖章（含电子印章），对允许采用手写签名的文件，应在纸质文件手写签名后，提供文件的彩色扫描电子文档进行后续操作。</w:t>
      </w:r>
    </w:p>
    <w:p>
      <w:pPr>
        <w:pStyle w:val="null3"/>
        <w:ind w:firstLine="480"/>
      </w:pPr>
      <w:r>
        <w:rPr/>
        <w:t xml:space="preserve"> 10.“全称”、“公司全称”、“加盖单位公章”及“公章”：在电子投标（响应）文件及相关的其他电子资料中，涉及“全称”或“公司全称”的应在对应文件编辑时使用文本录入方式，或在纸质投标（响应）文件上进行手写签名，或通过投标客户端使用电子印章完成；涉及“加盖单位公章”和“公章”应使用投标人单位的数字证书并通过投标客户端使用电子印章完成。</w:t>
      </w:r>
    </w:p>
    <w:p>
      <w:pPr>
        <w:pStyle w:val="null3"/>
        <w:ind w:firstLine="480"/>
      </w:pPr>
      <w:r>
        <w:rPr/>
        <w:t xml:space="preserve"> 11.“投标人代表签字”及“授权代表”：在电子投标（响应）文件及相关的其他电子资料中，涉及“投标人代表签字”或“授权代表”应在投标（响应）文件编辑时使用文本录入方式，或在纸质投标（响应）文件上进行手写签名，或通过投标客户端使用电子签名完成。</w:t>
      </w:r>
    </w:p>
    <w:p>
      <w:pPr>
        <w:pStyle w:val="null3"/>
        <w:ind w:firstLine="480"/>
      </w:pPr>
      <w:r>
        <w:rPr/>
        <w:t>12.“法定代表人”：在电子投标（响应）文件及相关的其他电子资料中，涉及“法定代表人”应在纸质投标（响应）文件上进行手写签名，或通过投标客户端使用电子签名完成。</w:t>
      </w:r>
    </w:p>
    <w:p>
      <w:pPr>
        <w:pStyle w:val="null3"/>
        <w:ind w:firstLine="480"/>
      </w:pPr>
      <w:r>
        <w:rPr/>
        <w:t>13.日期、天数、时间：未有特别说明时，均为公历日（天）及北京时间。</w:t>
      </w:r>
    </w:p>
    <w:p>
      <w:pPr>
        <w:pStyle w:val="null3"/>
        <w:outlineLvl w:val="2"/>
      </w:pPr>
      <w:r>
        <w:rPr>
          <w:sz w:val="28"/>
          <w:b/>
        </w:rPr>
        <w:t>二、须知前附表</w:t>
      </w:r>
    </w:p>
    <w:tbl>
      <w:tblPr>
        <w:tblW w:w="0" w:type="auto"/>
        <w:tblBorders>
          <w:top w:val="single"/>
          <w:left w:val="single"/>
          <w:bottom w:val="single"/>
          <w:right w:val="single"/>
          <w:insideH w:val="single"/>
          <w:insideV w:val="single"/>
        </w:tblBorders>
      </w:tblPr>
      <w:tblGrid>
        <w:gridCol w:w="1051"/>
        <w:gridCol w:w="2252"/>
        <w:gridCol w:w="5004"/>
      </w:tblGrid>
      <w:tr>
        <w:tc>
          <w:tcPr>
            <w:tcW w:type="dxa" w:w="8307"/>
            <w:gridSpan w:val="3"/>
          </w:tcPr>
          <w:p>
            <w:pPr>
              <w:pStyle w:val="null3"/>
            </w:pPr>
            <w:r>
              <w:rPr/>
              <w:t xml:space="preserve"> 本表与磋商文件对应章节的内容若不一致，以本表为准。</w:t>
            </w:r>
          </w:p>
        </w:tc>
      </w:tr>
      <w:tr>
        <w:tc>
          <w:tcPr>
            <w:tcW w:type="dxa" w:w="1051"/>
          </w:tcPr>
          <w:p>
            <w:pPr>
              <w:pStyle w:val="null3"/>
            </w:pPr>
            <w:r>
              <w:rPr/>
              <w:t xml:space="preserve"> 序号</w:t>
            </w:r>
          </w:p>
        </w:tc>
        <w:tc>
          <w:tcPr>
            <w:tcW w:type="dxa" w:w="2252"/>
          </w:tcPr>
          <w:p>
            <w:pPr>
              <w:pStyle w:val="null3"/>
            </w:pPr>
            <w:r>
              <w:rPr/>
              <w:t xml:space="preserve"> 条款名称</w:t>
            </w:r>
          </w:p>
        </w:tc>
        <w:tc>
          <w:tcPr>
            <w:tcW w:type="dxa" w:w="5004"/>
          </w:tcPr>
          <w:p>
            <w:pPr>
              <w:pStyle w:val="null3"/>
            </w:pPr>
            <w:r>
              <w:rPr/>
              <w:t xml:space="preserve"> 内容及要求</w:t>
            </w:r>
          </w:p>
        </w:tc>
      </w:tr>
      <w:tr>
        <w:tc>
          <w:tcPr>
            <w:tcW w:type="dxa" w:w="1051"/>
          </w:tcPr>
          <w:p>
            <w:pPr>
              <w:pStyle w:val="null3"/>
              <w:jc w:val="center"/>
            </w:pPr>
            <w:r>
              <w:rPr/>
              <w:t xml:space="preserve"> 1</w:t>
            </w:r>
          </w:p>
        </w:tc>
        <w:tc>
          <w:tcPr>
            <w:tcW w:type="dxa" w:w="2252"/>
          </w:tcPr>
          <w:p>
            <w:pPr>
              <w:pStyle w:val="null3"/>
            </w:pPr>
            <w:r>
              <w:rPr/>
              <w:t xml:space="preserve"> 采购包情况</w:t>
            </w:r>
          </w:p>
        </w:tc>
        <w:tc>
          <w:tcPr>
            <w:tcW w:type="dxa" w:w="5004"/>
          </w:tcPr>
          <w:p>
            <w:pPr>
              <w:pStyle w:val="null3"/>
            </w:pPr>
            <w:r>
              <w:rPr/>
              <w:t xml:space="preserve"> 本项目共</w:t>
            </w:r>
            <w:r>
              <w:rPr/>
              <w:t>1</w:t>
            </w:r>
            <w:r>
              <w:rPr/>
              <w:t>个采购包</w:t>
            </w:r>
          </w:p>
        </w:tc>
      </w:tr>
      <w:tr>
        <w:tc>
          <w:tcPr>
            <w:tcW w:type="dxa" w:w="1051"/>
          </w:tcPr>
          <w:p>
            <w:pPr>
              <w:pStyle w:val="null3"/>
              <w:jc w:val="center"/>
            </w:pPr>
            <w:r>
              <w:rPr/>
              <w:t xml:space="preserve"> 2</w:t>
            </w:r>
          </w:p>
        </w:tc>
        <w:tc>
          <w:tcPr>
            <w:tcW w:type="dxa" w:w="2252"/>
          </w:tcPr>
          <w:p>
            <w:pPr>
              <w:pStyle w:val="null3"/>
            </w:pPr>
            <w:r>
              <w:rPr/>
              <w:t xml:space="preserve"> 开启方式</w:t>
            </w:r>
          </w:p>
        </w:tc>
        <w:tc>
          <w:tcPr>
            <w:tcW w:type="dxa" w:w="5004"/>
          </w:tcPr>
          <w:p>
            <w:pPr>
              <w:pStyle w:val="null3"/>
            </w:pPr>
            <w:r>
              <w:rPr/>
              <w:t>远程电子开标</w:t>
            </w:r>
          </w:p>
        </w:tc>
      </w:tr>
      <w:tr>
        <w:tc>
          <w:tcPr>
            <w:tcW w:type="dxa" w:w="1051"/>
          </w:tcPr>
          <w:p>
            <w:pPr>
              <w:pStyle w:val="null3"/>
              <w:jc w:val="center"/>
            </w:pPr>
            <w:r>
              <w:rPr/>
              <w:t xml:space="preserve"> 3</w:t>
            </w:r>
          </w:p>
        </w:tc>
        <w:tc>
          <w:tcPr>
            <w:tcW w:type="dxa" w:w="2252"/>
          </w:tcPr>
          <w:p>
            <w:pPr>
              <w:pStyle w:val="null3"/>
            </w:pPr>
            <w:r>
              <w:rPr/>
              <w:t xml:space="preserve"> 评审方式</w:t>
            </w:r>
          </w:p>
        </w:tc>
        <w:tc>
          <w:tcPr>
            <w:tcW w:type="dxa" w:w="5004"/>
          </w:tcPr>
          <w:p>
            <w:pPr>
              <w:pStyle w:val="null3"/>
            </w:pPr>
            <w:r>
              <w:rPr/>
              <w:t>现场电子评标</w:t>
            </w:r>
            <w:r>
              <w:rPr/>
              <w:t xml:space="preserve"> （供应商应当审慎标记各评审项的应答部分，标记内容清晰且完整，否则将自行承担不利后果）</w:t>
            </w:r>
          </w:p>
        </w:tc>
      </w:tr>
      <w:tr>
        <w:tc>
          <w:tcPr>
            <w:tcW w:type="dxa" w:w="1051"/>
          </w:tcPr>
          <w:p>
            <w:pPr>
              <w:pStyle w:val="null3"/>
              <w:jc w:val="center"/>
            </w:pPr>
            <w:r>
              <w:rPr/>
              <w:t xml:space="preserve"> 4</w:t>
            </w:r>
          </w:p>
        </w:tc>
        <w:tc>
          <w:tcPr>
            <w:tcW w:type="dxa" w:w="2252"/>
          </w:tcPr>
          <w:p>
            <w:pPr>
              <w:pStyle w:val="null3"/>
            </w:pPr>
            <w:r>
              <w:rPr/>
              <w:t xml:space="preserve"> 评审办法</w:t>
            </w:r>
          </w:p>
        </w:tc>
        <w:tc>
          <w:tcPr>
            <w:tcW w:type="dxa" w:w="5004"/>
          </w:tcPr>
          <w:p>
            <w:pPr>
              <w:pStyle w:val="null3"/>
            </w:pPr>
            <w:r>
              <w:rPr/>
              <w:t>采购包1：综合评分法</w:t>
            </w:r>
          </w:p>
        </w:tc>
      </w:tr>
      <w:tr>
        <w:tc>
          <w:tcPr>
            <w:tcW w:type="dxa" w:w="1051"/>
          </w:tcPr>
          <w:p>
            <w:pPr>
              <w:pStyle w:val="null3"/>
              <w:jc w:val="center"/>
            </w:pPr>
            <w:r>
              <w:rPr/>
              <w:t>5</w:t>
            </w:r>
          </w:p>
        </w:tc>
        <w:tc>
          <w:tcPr>
            <w:tcW w:type="dxa" w:w="2252"/>
          </w:tcPr>
          <w:p>
            <w:pPr>
              <w:pStyle w:val="null3"/>
            </w:pPr>
            <w:r>
              <w:rPr/>
              <w:t>报价形式</w:t>
            </w:r>
          </w:p>
        </w:tc>
        <w:tc>
          <w:tcPr>
            <w:tcW w:type="dxa" w:w="5004"/>
          </w:tcPr>
          <w:p>
            <w:pPr>
              <w:pStyle w:val="null3"/>
            </w:pPr>
            <w:r>
              <w:rPr/>
              <w:t>采购包1：总价</w:t>
            </w:r>
          </w:p>
        </w:tc>
      </w:tr>
      <w:tr>
        <w:tc>
          <w:tcPr>
            <w:tcW w:type="dxa" w:w="1051"/>
          </w:tcPr>
          <w:p>
            <w:pPr>
              <w:pStyle w:val="null3"/>
              <w:jc w:val="center"/>
            </w:pPr>
            <w:r>
              <w:rPr/>
              <w:t>6</w:t>
            </w:r>
          </w:p>
        </w:tc>
        <w:tc>
          <w:tcPr>
            <w:tcW w:type="dxa" w:w="2252"/>
          </w:tcPr>
          <w:p>
            <w:pPr>
              <w:pStyle w:val="null3"/>
            </w:pPr>
            <w:r>
              <w:rPr/>
              <w:t>报价要求</w:t>
            </w:r>
          </w:p>
        </w:tc>
        <w:tc>
          <w:tcPr>
            <w:tcW w:type="dxa" w:w="5004"/>
          </w:tcPr>
          <w:p>
            <w:pPr>
              <w:pStyle w:val="null3"/>
            </w:pPr>
            <w:r>
              <w:rPr/>
              <w:t>各采购包报价不超过预算总价</w:t>
            </w:r>
          </w:p>
        </w:tc>
      </w:tr>
      <w:tr>
        <w:tc>
          <w:tcPr>
            <w:tcW w:type="dxa" w:w="1051"/>
          </w:tcPr>
          <w:p>
            <w:pPr>
              <w:pStyle w:val="null3"/>
              <w:jc w:val="center"/>
            </w:pPr>
            <w:r>
              <w:rPr/>
              <w:t xml:space="preserve"> 7</w:t>
            </w:r>
          </w:p>
        </w:tc>
        <w:tc>
          <w:tcPr>
            <w:tcW w:type="dxa" w:w="2252"/>
          </w:tcPr>
          <w:p>
            <w:pPr>
              <w:pStyle w:val="null3"/>
            </w:pPr>
            <w:r>
              <w:rPr/>
              <w:t xml:space="preserve"> 现场踏勘</w:t>
            </w:r>
          </w:p>
        </w:tc>
        <w:tc>
          <w:tcPr>
            <w:tcW w:type="dxa" w:w="5004"/>
          </w:tcPr>
          <w:p>
            <w:pPr>
              <w:pStyle w:val="null3"/>
            </w:pPr>
            <w:r>
              <w:rPr/>
              <w:t>否</w:t>
            </w:r>
          </w:p>
        </w:tc>
      </w:tr>
      <w:tr>
        <w:tc>
          <w:tcPr>
            <w:tcW w:type="dxa" w:w="1051"/>
          </w:tcPr>
          <w:p>
            <w:pPr>
              <w:pStyle w:val="null3"/>
              <w:jc w:val="center"/>
            </w:pPr>
            <w:r>
              <w:rPr/>
              <w:t xml:space="preserve"> 8</w:t>
            </w:r>
          </w:p>
        </w:tc>
        <w:tc>
          <w:tcPr>
            <w:tcW w:type="dxa" w:w="2252"/>
          </w:tcPr>
          <w:p>
            <w:pPr>
              <w:pStyle w:val="null3"/>
            </w:pPr>
            <w:r>
              <w:rPr/>
              <w:t xml:space="preserve"> 响应有效期</w:t>
            </w:r>
          </w:p>
        </w:tc>
        <w:tc>
          <w:tcPr>
            <w:tcW w:type="dxa" w:w="5004"/>
          </w:tcPr>
          <w:p>
            <w:pPr>
              <w:pStyle w:val="null3"/>
            </w:pPr>
            <w:r>
              <w:rPr/>
              <w:t>从提交投标（响应）文件的截止之日起90日历天</w:t>
            </w:r>
          </w:p>
        </w:tc>
      </w:tr>
      <w:tr>
        <w:tc>
          <w:tcPr>
            <w:tcW w:type="dxa" w:w="1051"/>
          </w:tcPr>
          <w:p>
            <w:pPr>
              <w:pStyle w:val="null3"/>
              <w:jc w:val="center"/>
            </w:pPr>
            <w:r>
              <w:rPr/>
              <w:t xml:space="preserve"> 9</w:t>
            </w:r>
          </w:p>
        </w:tc>
        <w:tc>
          <w:tcPr>
            <w:tcW w:type="dxa" w:w="2252"/>
          </w:tcPr>
          <w:p>
            <w:pPr>
              <w:pStyle w:val="null3"/>
            </w:pPr>
            <w:r>
              <w:rPr/>
              <w:t xml:space="preserve"> 响应保证金</w:t>
            </w:r>
          </w:p>
        </w:tc>
        <w:tc>
          <w:tcPr>
            <w:tcW w:type="dxa" w:w="5004"/>
          </w:tcPr>
          <w:p>
            <w:pPr>
              <w:pStyle w:val="null3"/>
            </w:pPr>
            <w:r>
              <w:rPr/>
              <w:t>不收取投标（响应）保证金</w:t>
            </w:r>
          </w:p>
          <w:p>
            <w:pPr>
              <w:pStyle w:val="null3"/>
            </w:pPr>
            <w:r>
              <w:rPr/>
              <w:t>响应保证金有效期∶与响应有效期一致。</w:t>
            </w:r>
          </w:p>
          <w:p>
            <w:pPr>
              <w:pStyle w:val="null3"/>
            </w:pPr>
            <w:r>
              <w:rPr/>
              <w:t>响应保函提交方式：供应商可通过"广东政府采购智慧云平台金融服务中心"(https://gdgpo.czt.gd.gov.cn/zcdservice/zcd/guangdong/)，申请办理响应担保函、保险（保证）凭证，成功出函的等效于现金缴纳响应保证金。</w:t>
            </w:r>
          </w:p>
        </w:tc>
      </w:tr>
      <w:tr>
        <w:tc>
          <w:tcPr>
            <w:tcW w:type="dxa" w:w="1051"/>
          </w:tcPr>
          <w:p>
            <w:pPr>
              <w:pStyle w:val="null3"/>
              <w:jc w:val="center"/>
            </w:pPr>
            <w:r>
              <w:rPr/>
              <w:t xml:space="preserve"> 10</w:t>
            </w:r>
          </w:p>
        </w:tc>
        <w:tc>
          <w:tcPr>
            <w:tcW w:type="dxa" w:w="2252"/>
          </w:tcPr>
          <w:p>
            <w:pPr>
              <w:pStyle w:val="null3"/>
            </w:pPr>
            <w:r>
              <w:rPr/>
              <w:t xml:space="preserve"> 成交候选供应商推荐家数</w:t>
            </w:r>
          </w:p>
        </w:tc>
        <w:tc>
          <w:tcPr>
            <w:tcW w:type="dxa" w:w="5004"/>
          </w:tcPr>
          <w:p>
            <w:pPr>
              <w:pStyle w:val="null3"/>
            </w:pPr>
            <w:r>
              <w:rPr/>
              <w:t>采购包1：</w:t>
            </w:r>
            <w:r>
              <w:rPr/>
              <w:t>3家</w:t>
            </w:r>
          </w:p>
        </w:tc>
      </w:tr>
      <w:tr>
        <w:tc>
          <w:tcPr>
            <w:tcW w:type="dxa" w:w="1051"/>
          </w:tcPr>
          <w:p>
            <w:pPr>
              <w:pStyle w:val="null3"/>
              <w:jc w:val="center"/>
            </w:pPr>
            <w:r>
              <w:rPr/>
              <w:t>11</w:t>
            </w:r>
          </w:p>
        </w:tc>
        <w:tc>
          <w:tcPr>
            <w:tcW w:type="dxa" w:w="2252"/>
          </w:tcPr>
          <w:p>
            <w:pPr>
              <w:pStyle w:val="null3"/>
            </w:pPr>
            <w:r>
              <w:rPr/>
              <w:t xml:space="preserve"> 成交供应商家数</w:t>
            </w:r>
          </w:p>
        </w:tc>
        <w:tc>
          <w:tcPr>
            <w:tcW w:type="dxa" w:w="5004"/>
          </w:tcPr>
          <w:p>
            <w:pPr>
              <w:pStyle w:val="null3"/>
            </w:pPr>
            <w:r>
              <w:rPr/>
              <w:t>采购包1：</w:t>
            </w:r>
            <w:r>
              <w:rPr/>
              <w:t>1家</w:t>
            </w:r>
          </w:p>
        </w:tc>
      </w:tr>
      <w:tr>
        <w:tc>
          <w:tcPr>
            <w:tcW w:type="dxa" w:w="1051"/>
          </w:tcPr>
          <w:p>
            <w:pPr>
              <w:pStyle w:val="null3"/>
              <w:jc w:val="center"/>
            </w:pPr>
            <w:r>
              <w:rPr/>
              <w:t>12</w:t>
            </w:r>
          </w:p>
        </w:tc>
        <w:tc>
          <w:tcPr>
            <w:tcW w:type="dxa" w:w="2252"/>
          </w:tcPr>
          <w:p>
            <w:pPr>
              <w:pStyle w:val="null3"/>
            </w:pPr>
            <w:r>
              <w:rPr/>
              <w:t xml:space="preserve"> 有效供应商家数</w:t>
            </w:r>
          </w:p>
        </w:tc>
        <w:tc>
          <w:tcPr>
            <w:tcW w:type="dxa" w:w="5004"/>
          </w:tcPr>
          <w:p>
            <w:pPr>
              <w:pStyle w:val="null3"/>
              <w:jc w:val="left"/>
            </w:pPr>
            <w:r>
              <w:rPr/>
              <w:t>采购包1：3家</w:t>
            </w:r>
          </w:p>
          <w:p>
            <w:pPr>
              <w:pStyle w:val="null3"/>
            </w:pPr>
            <w:r>
              <w:rPr/>
              <w:t>此人数约定了开启与评审过程中的最低有效供应商家数，当家数不足时项目将不得开启、不得评审或直接终止采购。</w:t>
            </w:r>
          </w:p>
        </w:tc>
      </w:tr>
      <w:tr>
        <w:tc>
          <w:tcPr>
            <w:tcW w:type="dxa" w:w="1051"/>
          </w:tcPr>
          <w:p>
            <w:pPr>
              <w:pStyle w:val="null3"/>
              <w:jc w:val="center"/>
            </w:pPr>
            <w:r>
              <w:rPr/>
              <w:t>13</w:t>
            </w:r>
          </w:p>
        </w:tc>
        <w:tc>
          <w:tcPr>
            <w:tcW w:type="dxa" w:w="2252"/>
          </w:tcPr>
          <w:p>
            <w:pPr>
              <w:pStyle w:val="null3"/>
            </w:pPr>
            <w:r>
              <w:rPr/>
              <w:t xml:space="preserve"> 项目兼投兼中（兼投不兼中）规则</w:t>
            </w:r>
          </w:p>
        </w:tc>
        <w:tc>
          <w:tcPr>
            <w:tcW w:type="dxa" w:w="5004"/>
          </w:tcPr>
          <w:p>
            <w:pPr>
              <w:pStyle w:val="null3"/>
            </w:pPr>
            <w:r>
              <w:rPr/>
              <w:t>无：-</w:t>
            </w:r>
          </w:p>
        </w:tc>
      </w:tr>
      <w:tr>
        <w:tc>
          <w:tcPr>
            <w:tcW w:type="dxa" w:w="1051"/>
          </w:tcPr>
          <w:p>
            <w:pPr>
              <w:pStyle w:val="null3"/>
              <w:jc w:val="center"/>
            </w:pPr>
            <w:r>
              <w:rPr/>
              <w:t>14</w:t>
            </w:r>
          </w:p>
        </w:tc>
        <w:tc>
          <w:tcPr>
            <w:tcW w:type="dxa" w:w="2252"/>
          </w:tcPr>
          <w:p>
            <w:pPr>
              <w:pStyle w:val="null3"/>
            </w:pPr>
            <w:r>
              <w:rPr/>
              <w:t xml:space="preserve"> 成交供应商确定方式</w:t>
            </w:r>
          </w:p>
        </w:tc>
        <w:tc>
          <w:tcPr>
            <w:tcW w:type="dxa" w:w="5004"/>
          </w:tcPr>
          <w:p>
            <w:pPr>
              <w:pStyle w:val="null3"/>
            </w:pPr>
            <w:r>
              <w:rPr/>
              <w:t>采购人按照评审报告中推荐的成交候选人确定中标（成交）人。</w:t>
            </w:r>
          </w:p>
        </w:tc>
      </w:tr>
      <w:tr>
        <w:tc>
          <w:tcPr>
            <w:tcW w:type="dxa" w:w="1051"/>
          </w:tcPr>
          <w:p>
            <w:pPr>
              <w:pStyle w:val="null3"/>
              <w:jc w:val="center"/>
            </w:pPr>
            <w:r>
              <w:rPr/>
              <w:t>15</w:t>
            </w:r>
          </w:p>
        </w:tc>
        <w:tc>
          <w:tcPr>
            <w:tcW w:type="dxa" w:w="2252"/>
          </w:tcPr>
          <w:p>
            <w:pPr>
              <w:pStyle w:val="null3"/>
            </w:pPr>
            <w:r>
              <w:rPr/>
              <w:t xml:space="preserve"> 代理服务费</w:t>
            </w:r>
          </w:p>
        </w:tc>
        <w:tc>
          <w:tcPr>
            <w:tcW w:type="dxa" w:w="5004"/>
          </w:tcPr>
          <w:p>
            <w:pPr>
              <w:pStyle w:val="null3"/>
            </w:pPr>
            <w:r>
              <w:rPr/>
              <w:t>收取。</w:t>
            </w:r>
          </w:p>
          <w:p>
            <w:pPr>
              <w:pStyle w:val="null3"/>
            </w:pPr>
            <w:r>
              <w:rPr/>
              <w:t>采购机构代理服务收费标准：参照《招标代理服务收费管理暂行办法》中“货物类”计费标准收取。</w:t>
            </w:r>
          </w:p>
        </w:tc>
      </w:tr>
      <w:tr>
        <w:tc>
          <w:tcPr>
            <w:tcW w:type="dxa" w:w="1051"/>
          </w:tcPr>
          <w:p>
            <w:pPr>
              <w:pStyle w:val="null3"/>
              <w:jc w:val="center"/>
            </w:pPr>
            <w:r>
              <w:rPr/>
              <w:t>16</w:t>
            </w:r>
          </w:p>
        </w:tc>
        <w:tc>
          <w:tcPr>
            <w:tcW w:type="dxa" w:w="2252"/>
          </w:tcPr>
          <w:p>
            <w:pPr>
              <w:pStyle w:val="null3"/>
            </w:pPr>
            <w:r>
              <w:rPr/>
              <w:t xml:space="preserve"> 代理服务费收取方式</w:t>
            </w:r>
          </w:p>
        </w:tc>
        <w:tc>
          <w:tcPr>
            <w:tcW w:type="dxa" w:w="5004"/>
          </w:tcPr>
          <w:p>
            <w:pPr>
              <w:pStyle w:val="null3"/>
            </w:pPr>
            <w:r>
              <w:rPr/>
              <w:t>向中标/成交供应商收取</w:t>
            </w:r>
          </w:p>
        </w:tc>
      </w:tr>
      <w:tr>
        <w:tc>
          <w:tcPr>
            <w:tcW w:type="dxa" w:w="1051"/>
          </w:tcPr>
          <w:p>
            <w:pPr>
              <w:pStyle w:val="null3"/>
              <w:jc w:val="center"/>
            </w:pPr>
            <w:r>
              <w:rPr/>
              <w:t>17</w:t>
            </w:r>
          </w:p>
        </w:tc>
        <w:tc>
          <w:tcPr>
            <w:tcW w:type="dxa" w:w="2252"/>
          </w:tcPr>
          <w:p>
            <w:pPr>
              <w:pStyle w:val="null3"/>
            </w:pPr>
            <w:r>
              <w:rPr/>
              <w:t xml:space="preserve"> 响应文件要求</w:t>
            </w:r>
          </w:p>
        </w:tc>
        <w:tc>
          <w:tcPr>
            <w:tcW w:type="dxa" w:w="5004"/>
          </w:tcPr>
          <w:p>
            <w:pPr>
              <w:pStyle w:val="null3"/>
              <w:ind w:firstLine="480"/>
            </w:pPr>
            <w:r>
              <w:rPr>
                <w:b/>
              </w:rPr>
              <w:t>一、电子响应文件（必须提供）：</w:t>
            </w:r>
          </w:p>
          <w:p>
            <w:pPr>
              <w:pStyle w:val="null3"/>
              <w:ind w:firstLine="480"/>
            </w:pPr>
            <w:r>
              <w:rPr/>
              <w:t>（1）加密的电子响应文件 1 份（需在递交响应文件截止时间前成功上传至云平台项目采购系统）。</w:t>
            </w:r>
          </w:p>
          <w:p>
            <w:pPr>
              <w:pStyle w:val="null3"/>
              <w:ind w:firstLine="480"/>
            </w:pPr>
            <w:r>
              <w:rPr/>
              <w:t>（2）非加密电子版文件 U 盘(或光盘)</w:t>
            </w:r>
            <w:r>
              <w:rPr/>
              <w:t>0</w:t>
            </w:r>
            <w:r>
              <w:rPr/>
              <w:t>份，加密的电子响应文件与非加密的电子响应文件必须完全一致。</w:t>
            </w:r>
          </w:p>
          <w:p>
            <w:pPr>
              <w:pStyle w:val="null3"/>
              <w:ind w:firstLine="480"/>
            </w:pPr>
            <w:r>
              <w:rPr>
                <w:b/>
              </w:rPr>
              <w:t>非加密电子版响应文件使用情形:</w:t>
            </w:r>
            <w:r>
              <w:rPr/>
              <w:t xml:space="preserve"> 当无法使用 CA 证书在云平台项目采购系统进行电子响应文件开标解密时，供应商须在代理机构指引下启用非加密电子版响应文件。</w:t>
            </w:r>
          </w:p>
          <w:p>
            <w:pPr>
              <w:pStyle w:val="null3"/>
              <w:ind w:firstLine="480"/>
            </w:pPr>
            <w:r>
              <w:rPr>
                <w:b/>
              </w:rPr>
              <w:t>二、纸质投标文件（代理机构自行选择）：</w:t>
            </w:r>
            <w:r>
              <w:rPr/>
              <w:t>（3）纸质投标文件正本0份，纸质投标文件副本0份。纸质投标文件应与电子投标文件一致（递交的纸质文件需密封完好，注明“正本”和“副本”字样，正本和副本分别封装。如果正本与副本不符，应以正本为准。）。</w:t>
            </w:r>
            <w:r>
              <w:rPr>
                <w:b/>
              </w:rPr>
              <w:t>纸质投标文件使用情形：</w:t>
            </w:r>
            <w:r>
              <w:rPr/>
              <w:t>当项目采购系统出现故障，无法使用电子投标文件评标时，代理机构可根据云平台发布的通知指引，根据实际情况使用纸质投标文件评标。</w:t>
            </w:r>
            <w:r>
              <w:br/>
            </w:r>
            <w:r>
              <w:rPr/>
              <w:t>在电子投标文件能正常使用的情况下，不得因供应商未提交纸质投标文件而认定供应商投标无效。</w:t>
            </w:r>
          </w:p>
        </w:tc>
      </w:tr>
      <w:tr>
        <w:tc>
          <w:tcPr>
            <w:tcW w:type="dxa" w:w="1051"/>
          </w:tcPr>
          <w:p>
            <w:pPr>
              <w:pStyle w:val="null3"/>
              <w:jc w:val="center"/>
            </w:pPr>
            <w:r>
              <w:rPr/>
              <w:t>18</w:t>
            </w:r>
          </w:p>
        </w:tc>
        <w:tc>
          <w:tcPr>
            <w:tcW w:type="dxa" w:w="2252"/>
          </w:tcPr>
          <w:p>
            <w:pPr>
              <w:pStyle w:val="null3"/>
            </w:pPr>
            <w:r>
              <w:rPr/>
              <w:t xml:space="preserve"> 其他</w:t>
            </w:r>
          </w:p>
        </w:tc>
        <w:tc>
          <w:tcPr>
            <w:tcW w:type="dxa" w:w="5004"/>
          </w:tcPr>
          <w:p>
            <w:pPr>
              <w:pStyle w:val="null3"/>
              <w:jc w:val="left"/>
            </w:pPr>
            <w:r>
              <w:rPr/>
              <w:t>一，响应文件要求，电子响应文件上传到广东省政府采购网（https://gdgpo.czt.gd.gov.cn/）广东政府采购智慧云平台网上。</w:t>
            </w:r>
          </w:p>
          <w:p>
            <w:pPr>
              <w:pStyle w:val="null3"/>
              <w:jc w:val="left"/>
            </w:pPr>
            <w:r>
              <w:rPr/>
              <w:t>二，其他补充事宜 1.本项目采用电子系统进行招投标，请在投标前详细阅读供应商操作手册，手册获取网址： https://gdgpo.czt.gd.gov.cn/help/transaction/gongyinshan.html。供应商在使用过程中遇到涉及系统使用的问题，可通过400-1832-999进行咨询或通过广东政府采购智慧云平台运维服务说明中提供的苗木类方式获取帮助。 2.供应商参加本项目投标，需要提前办理CA和电子签章，办理方式和注意事项详见供应商操作手册与CA办理指南，指南获取地址：https://gdgpo.czt.gd.gov.cn/help/problem/。数字证书CA服务热线：400-887-6133。 3.供应商应确认电子投标（响应）文件成功上传至广东省项目采购电子交易系统。如多次上传不成功的可咨询平台技术人员解决。 4.供应商可自行登录中小企业规模类型自测小程序网站（网址：http://202.106.120.146/baosong/appweb/orgScale.html） ，自测企业规模。</w:t>
            </w:r>
          </w:p>
          <w:p>
            <w:pPr>
              <w:pStyle w:val="null3"/>
              <w:jc w:val="left"/>
            </w:pPr>
            <w:r>
              <w:rPr/>
              <w:t>三，中山市政府采购支持中小微企业质押融资的说明根据《关于印发〈中山市政府采购支持中小微企业质押融资的实施意见〉的通知》规定 ：1. 根据《中国人民银行中山市中心支行 中山市财政局 中山市经济和信息化局 中山市人民政府金融工作局关于印发&lt;中山市政府采购支持中小微企业质押融资的实施意见&gt;的通知》（中人银发【2017】82号）规定，凡通过政府采购法定程序取得我市政府采购合同的中小微企业，均可向辖内开展政府采购质押融资业务的银行机构申请办理融资业务。截至当前，辖内开展政府采购质押融资业务的银行机构报备的联系方式如下：政府采购质押融资业务的银行机构联系人名单：1）农业发展银行中山市分行 客户部 孙博 13824726333 信贷与风险管理部 徐健兴 13702797626 2）工商银行中山分行 普惠金融事业部 杨培鹏 15900085352 普惠金融事业部 陈韵诗 18928106880 3）农业银行中山分行 乡村振兴普惠部/普惠金融事业部 罗红艳 0760-22644680 4）中国银行中山分行 普惠金融事业部 朱博玮 0760-88116725 风险内控部 庞宇宁 0760-88116076 5）建设银行中山市分行 公司业务部 吴灵杰 13143108376 6）交通银行中山分行 普惠部 杨小勇 13424595554 7）中山农村商业银行 普惠金融部 杜保森 13528137939/0760-88884181 8）邮储银行中山市分行 普惠金融事业部 梁根元 15876006469 9）广发银行中山分行 交易银行部 庄焕杰 0760-88862577 10）平安银行中山分行 公司管理部 刘涛 15902062164 跨境业务部 张蕾 13802664960 政府业务一部 樊林 13631131569 11）中信银行中山分行 公司银行部（普惠金融部） 陈廷忠 15113386853 12）民生银行中山分行 小微金融部/普惠金融部 陈毅聪 0760-88799160 13）光大银行中山分行 公司金融部 邓敏 0760-88858067 14）招商银行中山分行 风险管理部 钟娟 0760-89981875 公司金融事业部 梁倩 0760-89981269 15）东莞银行中山分行 业务部 郑康辉 0760-86939959 16）广州银行中山分行 公司金融部 卢盈伶 0760-88776952 普惠业务部 王淼龙 13528240121 17）渤海银行中山分行 公司金融部 张砚珺 0760-87911816 公司金融部 蒋华玲 0760-87911803 18）华润银行中山分行 公司金融部 刘永智 0760-87500626 风险管理部 罗凯欣 0760-87500513 19）浦发银行中山分行 公司业务部 甘芷珺 13415312386 20）华兴银行中山分行 公司银行部 梁卫明 0760-88520074 公司银行部 邓松华 0760-88520072 21）大华银行（中国）有限公司中山分行 科技与营运部 黎骏业 0760-87707696 22）创兴银行中山支行 公司业务部 温世冠 13435737447 公司业务部 吕瑒 13928153346 2.中小微企业有融资需求的，可通过应收账款融资服务平台（网址： www.crcrfsp.com）和广东省中小微企业信用信息和融资对接平台（网址：https://finance.gzebsc.cn）向辖内特定或非特定银行机构咨询并提出融资申请。 3.采购人应当及时在应收账款融资服务平台（网址：www.crcrfsp.com）确认债权债务关系，支持中小微企业融资。 4.中小微企业与银行机构签订政府采购质押融资合同的，由采购人牵头与中小微企业和银行机构三方签署 《政府采购合同项下政府采购资金唯一回款账户确认函》，确保合同款支付到中小微企业在融资银行机构开立的回款账号。 5.财政部门根据《政府采购法》等相关法规、规章规定，对参加政府采购活动的供应商的不良行为予以记录，并纳入广东省中小微企业信用信息和融资对接平台，供银行机构融资授信时审慎性参考。</w:t>
            </w:r>
          </w:p>
          <w:p>
            <w:pPr>
              <w:pStyle w:val="null3"/>
              <w:jc w:val="left"/>
            </w:pPr>
            <w:r>
              <w:rPr/>
              <w:t>四，需要落实的政府采购政策：《政府采购促进中小企业发展管理办法》（财库〔2020〕46 号）、《关于政府采购支持监狱企业发展有关问题的通知 》(财库〔2014〕68号)、《关于促进残疾人就业政府采购政策的通知》（财库〔2017〕141号 )、《关于环境标志产品政府采购实施的意见》（财库〔2006〕90号）、《节能产品政府采购 实施意见》的通知（财库〔2004〕185号）、《关于调整优化节能产品、环境标志产品政府采购执行机制的通知》（财库〔2019〕9号）、《关于运用政府采购政策支持脱贫攻坚的通知》等。</w:t>
            </w:r>
          </w:p>
          <w:p>
            <w:pPr>
              <w:pStyle w:val="null3"/>
              <w:jc w:val="left"/>
            </w:pPr>
            <w:r>
              <w:rPr/>
              <w:t>五，开评标有关事项: ⑴本项目开标方式为“远程开标”，项目采用电子远程开标环节使用手册获取网址：https://gdgpo.czt.gd.gov.cn/help/transaction/gongyinshan.html。 ⑵请供应商按“远程开标”有关要求，在投标/报价截止时间前，将加密的电子投标/报价文件上传至云平台项目采购系统，逾期上传或错误方式投递送达将导致投标/报价无效。咨询电话：020-88696588。 ⑶由云平台进行自动在线签到及在线解密，不需要委派代表前往开标/唱价现场，不需要到现场提交纸质或电子光盘投标/报价文件。 ⑷在开标/唱价截止时间前，请各投标/报价人核实并确认填写授权代表的姓名与手机号码，若因填写的授权代表信息有误而导致的不良后果，由供应商自行承担。 ⑸参与开标/唱价会的投标供应商，在投标/报价截止时间前登录云平台→点击“项目采购”→选择参与开标的项目→进入“开标大厅”，并留意右侧的“信息栏”。 ⑹开标/唱价时，供应商应当使用编制本项目（采购包）电子投标/报价文件时加密所用数字证书进行解密，开标解密时长具体情况根据开标时现场代理机构人员设置为准，投标/报价人不按要求进行解密，视为无效投标/报价。各供应商在参加开标/唱价之前须自行对使用电脑的网络环境、驱动安装、客户端安装以及数字证书的有效性等进行检测，确保可以正常使用。 ⑺供应商应按正常流程进行解密，因技术问题导致在规定的时间内无法解密的，代理机构可视情况开通授权上传功能（即授权供应商在其客户端上传备份电子响应文件），供应商获得授权后应该及时上传备用电子投标/报价文件（投标/报价人需保证上传的备用电子投标/报价文件与加密的电子投标/报价文件版本一致）。如供应商没在代理机构规定时间内完成备用电子投标/报价文件上传的，视为无效投标/报价。供应商可提前登录云平台了解“解密失败解决办法”。咨询电话：020-83523973、020-83523967。</w:t>
            </w:r>
          </w:p>
        </w:tc>
      </w:tr>
      <w:tr>
        <w:tc>
          <w:tcPr>
            <w:tcW w:type="dxa" w:w="1051"/>
          </w:tcPr>
          <w:p>
            <w:pPr>
              <w:pStyle w:val="null3"/>
              <w:jc w:val="center"/>
            </w:pPr>
            <w:r>
              <w:rPr/>
              <w:t>19</w:t>
            </w:r>
          </w:p>
        </w:tc>
        <w:tc>
          <w:tcPr>
            <w:tcW w:type="dxa" w:w="2252"/>
          </w:tcPr>
          <w:p>
            <w:pPr>
              <w:pStyle w:val="null3"/>
            </w:pPr>
            <w:r>
              <w:rPr/>
              <w:t xml:space="preserve"> 开标解密时长</w:t>
            </w:r>
          </w:p>
        </w:tc>
        <w:tc>
          <w:tcPr>
            <w:tcW w:type="dxa" w:w="5004"/>
          </w:tcPr>
          <w:p>
            <w:pPr>
              <w:pStyle w:val="null3"/>
            </w:pPr>
            <w:r>
              <w:rPr/>
              <w:t>30分钟</w:t>
            </w:r>
          </w:p>
          <w:p>
            <w:pPr>
              <w:pStyle w:val="null3"/>
            </w:pPr>
            <w:r>
              <w:rPr/>
              <w:t>说明：具体情况根据开标时现场代理机构人员设置为准</w:t>
            </w:r>
          </w:p>
        </w:tc>
      </w:tr>
      <w:tr>
        <w:tc>
          <w:tcPr>
            <w:tcW w:type="dxa" w:w="1051"/>
          </w:tcPr>
          <w:p>
            <w:pPr>
              <w:pStyle w:val="null3"/>
              <w:jc w:val="center"/>
            </w:pPr>
            <w:r>
              <w:rPr/>
              <w:t>20</w:t>
            </w:r>
          </w:p>
        </w:tc>
        <w:tc>
          <w:tcPr>
            <w:tcW w:type="dxa" w:w="2252"/>
          </w:tcPr>
          <w:p>
            <w:pPr>
              <w:pStyle w:val="null3"/>
            </w:pPr>
            <w:r>
              <w:rPr/>
              <w:t xml:space="preserve"> 专门面向中小企业采购</w:t>
            </w:r>
          </w:p>
        </w:tc>
        <w:tc>
          <w:tcPr>
            <w:tcW w:type="dxa" w:w="5004"/>
          </w:tcPr>
          <w:p>
            <w:pPr>
              <w:pStyle w:val="null3"/>
              <w:jc w:val="left"/>
            </w:pPr>
            <w:r>
              <w:rPr/>
              <w:t>采购包1：非专门面向中小企业</w:t>
            </w:r>
          </w:p>
        </w:tc>
      </w:tr>
    </w:tbl>
    <w:p>
      <w:pPr>
        <w:pStyle w:val="null3"/>
        <w:outlineLvl w:val="2"/>
      </w:pPr>
      <w:r>
        <w:rPr>
          <w:sz w:val="28"/>
          <w:b/>
        </w:rPr>
        <w:t>三、说明</w:t>
      </w:r>
    </w:p>
    <w:p>
      <w:pPr>
        <w:pStyle w:val="null3"/>
        <w:outlineLvl w:val="3"/>
      </w:pPr>
      <w:r>
        <w:rPr>
          <w:sz w:val="24"/>
          <w:b/>
        </w:rPr>
        <w:t>1.总则</w:t>
      </w:r>
    </w:p>
    <w:p>
      <w:pPr>
        <w:pStyle w:val="null3"/>
        <w:ind w:firstLine="480"/>
      </w:pPr>
      <w:r>
        <w:rPr/>
        <w:t xml:space="preserve"> 本磋商文件依据《中华人民共和国政府采购法》、《中华人民共和国政府采购法实施条例》（国务院令第658号）和《政府采购竞争性磋商采购方式管理暂行办法》（财库〔2014〕214号）及国家和广东省有关法律、法规、规章制度编制。</w:t>
      </w:r>
    </w:p>
    <w:p>
      <w:pPr>
        <w:pStyle w:val="null3"/>
        <w:ind w:firstLine="480"/>
      </w:pPr>
      <w:r>
        <w:rPr/>
        <w:t xml:space="preserve"> 供应商应仔细阅读本项目信息公告及磋商文件的所有内容（包括变更、补充、澄清以及修改等，且均为磋商文件的组成部分），按照磋商文件要求以及格式编制响应文件，并保证其真实性，否则一切后果自负。</w:t>
      </w:r>
    </w:p>
    <w:p>
      <w:pPr>
        <w:pStyle w:val="null3"/>
        <w:ind w:firstLine="480"/>
      </w:pPr>
      <w:r>
        <w:rPr/>
        <w:t>本次竞争性磋商项目，是以磋商公告的方式邀请非特定的供应商参加磋商。</w:t>
      </w:r>
    </w:p>
    <w:p>
      <w:pPr>
        <w:pStyle w:val="null3"/>
        <w:outlineLvl w:val="3"/>
      </w:pPr>
      <w:r>
        <w:rPr>
          <w:sz w:val="24"/>
          <w:b/>
        </w:rPr>
        <w:t>2.适用范围</w:t>
      </w:r>
    </w:p>
    <w:p>
      <w:pPr>
        <w:pStyle w:val="null3"/>
        <w:ind w:firstLine="480"/>
      </w:pPr>
      <w:r>
        <w:rPr/>
        <w:t>本磋商文件仅适用于本次磋商公告中所涉及的项目和内容。</w:t>
      </w:r>
    </w:p>
    <w:p>
      <w:pPr>
        <w:pStyle w:val="null3"/>
        <w:outlineLvl w:val="3"/>
      </w:pPr>
      <w:r>
        <w:rPr>
          <w:sz w:val="24"/>
          <w:b/>
        </w:rPr>
        <w:t>3.进口产品</w:t>
      </w:r>
    </w:p>
    <w:p>
      <w:pPr>
        <w:pStyle w:val="null3"/>
        <w:ind w:firstLine="480"/>
      </w:pPr>
      <w:r>
        <w:rPr/>
        <w:t>若本项目允许采购进口产品，供应商应保证所投产品可履行合法报通关手续进入中国关境内。</w:t>
      </w:r>
    </w:p>
    <w:p>
      <w:pPr>
        <w:pStyle w:val="null3"/>
        <w:ind w:firstLine="480"/>
      </w:pPr>
      <w:r>
        <w:rPr/>
        <w:t>若本项目不允许采购进口产品，如供应商所投产品为进口产品，其响应将被认定为响应无效。</w:t>
      </w:r>
    </w:p>
    <w:p>
      <w:pPr>
        <w:pStyle w:val="null3"/>
        <w:outlineLvl w:val="3"/>
      </w:pPr>
      <w:r>
        <w:rPr>
          <w:sz w:val="24"/>
          <w:b/>
        </w:rPr>
        <w:t>4.磋商费用</w:t>
      </w:r>
    </w:p>
    <w:p>
      <w:pPr>
        <w:pStyle w:val="null3"/>
        <w:ind w:firstLine="480"/>
      </w:pPr>
      <w:r>
        <w:rPr/>
        <w:t>不论磋商结果如何，供应商应承担所有与准备和参加磋商有关的费用。采购代理机构和采购人均无义务和责任承担相关费用。</w:t>
      </w:r>
    </w:p>
    <w:p>
      <w:pPr>
        <w:pStyle w:val="null3"/>
        <w:outlineLvl w:val="3"/>
      </w:pPr>
      <w:r>
        <w:rPr>
          <w:sz w:val="24"/>
          <w:b/>
        </w:rPr>
        <w:t>5.以联合体形式磋商的，应符合以下规定：</w:t>
      </w:r>
    </w:p>
    <w:p>
      <w:pPr>
        <w:pStyle w:val="null3"/>
        <w:ind w:firstLine="480"/>
      </w:pPr>
      <w:r>
        <w:rPr/>
        <w:t>5.1联合体各方均应当满足《中华人民共和国政府采购法》第二十二条规定的条件，并在响应文件中提供联合体各方的相关证明材料。</w:t>
      </w:r>
    </w:p>
    <w:p>
      <w:pPr>
        <w:pStyle w:val="null3"/>
        <w:ind w:firstLine="480"/>
      </w:pPr>
      <w:r>
        <w:rPr/>
        <w:t xml:space="preserve"> 5.2联合体各方之间应签订联合体协议书并在响应文件中提交，明确约定联合体各方承担的工作和相应的责任。联合体各方签订联合体协议书后，不得再以自己名义单独在同一项目中响应，也不得组成新的联合体参加同一项目响应，若违反规定则其参与的所有响应将视为无效响应。</w:t>
      </w:r>
    </w:p>
    <w:p>
      <w:pPr>
        <w:pStyle w:val="null3"/>
        <w:ind w:firstLine="480"/>
      </w:pPr>
      <w:r>
        <w:rPr/>
        <w:t xml:space="preserve"> 5.3联合体应以联合协议中确定的牵头方名义登录云平台项目采购系统进行项目响应，录入联合体所有成员单位的全称并使用成员单位的电子印章进行联投确认，联合体名称需与联合体协议书签署方一致。对于需交响应保证金的，以牵头方名义缴纳。</w:t>
      </w:r>
    </w:p>
    <w:p>
      <w:pPr>
        <w:pStyle w:val="null3"/>
        <w:ind w:firstLine="480"/>
      </w:pPr>
      <w:r>
        <w:rPr/>
        <w:t>5.4联合体成员存在不良信用记录的，视同联合体存在不良信用记录。</w:t>
      </w:r>
    </w:p>
    <w:p>
      <w:pPr>
        <w:pStyle w:val="null3"/>
        <w:ind w:firstLine="480"/>
      </w:pPr>
      <w:r>
        <w:rPr/>
        <w:t>5.5联合体各方均应满足《中华人民共和国政府采购法》第二十二条规定的条件。根据《中华人民共和国政府采购法实施条例》第二十二条，联合体中有同类资质的供应商按照联合体分工承担相同工作的，应当按照资质等级较低的供应商确定资质等级。</w:t>
      </w:r>
    </w:p>
    <w:p>
      <w:pPr>
        <w:pStyle w:val="null3"/>
        <w:ind w:firstLine="480"/>
      </w:pPr>
      <w:r>
        <w:rPr/>
        <w:t>5.6联合体各方应当共同与采购人签订采购合同，就合同约定的事项对采购人承担连带责任。</w:t>
      </w:r>
    </w:p>
    <w:p>
      <w:pPr>
        <w:pStyle w:val="null3"/>
        <w:outlineLvl w:val="3"/>
      </w:pPr>
      <w:r>
        <w:rPr>
          <w:sz w:val="24"/>
          <w:b/>
        </w:rPr>
        <w:t>6.关联企业响应说明</w:t>
      </w:r>
    </w:p>
    <w:p>
      <w:pPr>
        <w:pStyle w:val="null3"/>
        <w:ind w:firstLine="480"/>
      </w:pPr>
      <w:r>
        <w:rPr/>
        <w:t xml:space="preserve"> 6.1对于不接受联合体响应的采购项目（采购包）：法定代表人或单位负责人为同一个人或者存在直接控股、管理关系的不同供应商，不得同时参加同一项目或同一采购包的响应。如同时参加，则评审时将同时被拒绝。</w:t>
      </w:r>
    </w:p>
    <w:p>
      <w:pPr>
        <w:pStyle w:val="null3"/>
        <w:ind w:firstLine="480"/>
      </w:pPr>
      <w:r>
        <w:rPr/>
        <w:t xml:space="preserve"> 6.2对于接受联合体响应的采购项目（采购包）：除联合体外，法定代表人或单位负责人为同一个人或者存在直接控股、管理关系的不同供应商，不得同时参加同一项目或同一采购包的响应。如同时参加，则评审时将同时被拒绝。</w:t>
      </w:r>
    </w:p>
    <w:p>
      <w:pPr>
        <w:pStyle w:val="null3"/>
        <w:outlineLvl w:val="3"/>
      </w:pPr>
      <w:r>
        <w:rPr>
          <w:sz w:val="24"/>
          <w:b/>
        </w:rPr>
        <w:t>7.关于中小微企业响应</w:t>
      </w:r>
    </w:p>
    <w:p>
      <w:pPr>
        <w:pStyle w:val="null3"/>
        <w:ind w:firstLine="480"/>
      </w:pPr>
      <w:r>
        <w:rPr/>
        <w:t xml:space="preserve"> 中小微企业响应是指在政府采购活动中，供应商提供的货物均由中小微企业制造、工程均由中小微企业承建或者服务均由中小微企业承接，并在响应文件中提供《中小企业声明函》。本条款所称中小微企业，是指在中华人民共和国境内依法设立，依据国务院批准的中小企业划分标准确定的中型企业、小型企业和微型企业，但与大企业的负责人为同一人，或者与大企业存在直接控股、管理关系的除外。符合中小企业划分标准的个体工商户，在政府采购活动中视同中小企业。 中小企业划分见《关于印发中小企业划型标准规定的通知》（工信部联企业〔2011〕300号) 。</w:t>
      </w:r>
    </w:p>
    <w:p>
      <w:pPr>
        <w:pStyle w:val="null3"/>
        <w:ind w:firstLine="480"/>
      </w:pPr>
      <w:r>
        <w:rPr/>
        <w:t>根据财库〔2014〕68号《财政部 司法部关于政府采购支持监狱企业发展有关问题的通知》，监狱企业视同小微企业。监狱企业是指由司法部认定的为罪犯、戒毒人员提供生产项目和劳动对象，且全部产权属于司法部监狱管理局、戒毒管理局、直属煤矿管理局，各省、自治区、直辖市监狱管理局、戒毒管理局，各地(设区的市)监狱、强制隔离戒毒所、戒毒康复所，以及新疆生产建设兵团监狱管理局、戒毒管理局的企业。监狱企业响应时，提供由省级以上监狱管理局、戒毒管理局(含新疆生产建设兵团)出具的属于监狱企业的证明文件，不再提供《中小企业声明函》。</w:t>
      </w:r>
    </w:p>
    <w:p>
      <w:pPr>
        <w:pStyle w:val="null3"/>
        <w:ind w:firstLine="480"/>
      </w:pPr>
      <w:r>
        <w:rPr/>
        <w:t>根据财库〔2017〕141号《财政部 民政部 中国残疾人联合会关于促进残疾人就业政府采购政策的通知》，在政府采购活动中，残疾人福利性单位视同小型、微型企业，享受政府采购支持政策的残疾人福利性单位应当同时满足《财政部 民政部 中国残疾人联合会关于促进残疾人就业政府采购政策的通知》所列条件。残疾人福利性单位属于小型、微型企业的，不重复享受政策。符合条件的残疾人福利性单位在参加政府采购活动时，应当提供《残疾人福利性单位声明函》，并对声明的真实性负责。</w:t>
      </w:r>
    </w:p>
    <w:p>
      <w:pPr>
        <w:pStyle w:val="null3"/>
        <w:outlineLvl w:val="3"/>
      </w:pPr>
      <w:r>
        <w:rPr>
          <w:sz w:val="24"/>
          <w:b/>
        </w:rPr>
        <w:t>8.纪律与保密事项</w:t>
      </w:r>
    </w:p>
    <w:p>
      <w:pPr>
        <w:pStyle w:val="null3"/>
        <w:ind w:firstLine="480"/>
      </w:pPr>
      <w:r>
        <w:rPr/>
        <w:t>8.1供应商不得相互串通磋商报价，不得妨碍其他供应商的公平竞争，不得损害采购人或其他供应商的合法权益，供应商不得以向采购人、磋商小组成员行贿或者采取其他不正当手段谋取成交。</w:t>
      </w:r>
    </w:p>
    <w:p>
      <w:pPr>
        <w:pStyle w:val="null3"/>
        <w:ind w:firstLine="480"/>
      </w:pPr>
      <w:r>
        <w:rPr/>
        <w:t>8.2供应商不得与采购人就响应价格、响应方案等实质性内容进行磋商，也不得私下接触磋商小组成员。</w:t>
      </w:r>
    </w:p>
    <w:p>
      <w:pPr>
        <w:pStyle w:val="null3"/>
        <w:ind w:firstLine="480"/>
      </w:pPr>
      <w:r>
        <w:rPr/>
        <w:t>8.3在确定成交供应商之前，供应商试图在响应文件审查、澄清、比较和评价时对磋商小组、采购人和采购代理机构施加任何影响都可能导致其响应无效。</w:t>
      </w:r>
    </w:p>
    <w:p>
      <w:pPr>
        <w:pStyle w:val="null3"/>
        <w:ind w:firstLine="480"/>
      </w:pPr>
      <w:r>
        <w:rPr/>
        <w:t>8.4获得本磋商文件者，须履行本磋商项目下保密义务，不得将因本次磋商获得的信息向第三人外传，不得将磋商文件用作本次响应以外的任何用途。</w:t>
      </w:r>
    </w:p>
    <w:p>
      <w:pPr>
        <w:pStyle w:val="null3"/>
        <w:ind w:firstLine="480"/>
      </w:pPr>
      <w:r>
        <w:rPr/>
        <w:t xml:space="preserve"> 8.5由采购人向供应商提供的图纸、详细资料、样品、模型、模件和所有其它资料，均为保密资料，仅被用于它所规定的用途。除非得到采购人的同意，不能向任何第三方透露。开启结束后，应采购人要求，供应商应归还所有从采购人处获得的保密资料。</w:t>
      </w:r>
    </w:p>
    <w:p>
      <w:pPr>
        <w:pStyle w:val="null3"/>
        <w:ind w:firstLine="480"/>
      </w:pPr>
      <w:r>
        <w:rPr/>
        <w:t>8.6采购人或采购代理机构有权将供应商提供的所有资料向有关政府部门或询价小组披露。</w:t>
      </w:r>
    </w:p>
    <w:p>
      <w:pPr>
        <w:pStyle w:val="null3"/>
        <w:ind w:firstLine="480"/>
      </w:pPr>
      <w:r>
        <w:rPr/>
        <w:t xml:space="preserve"> 8.7在采购人或采购代理机构认为适当时、国家机关调查、审查、审计时以及其他符合法律规定的情形下，采购人或采购代理机构无须事先征求供应商同意而可以披露关于采购过程、合同文本、签署情况的资料、供应商的名称及地址、响应文件的有关信息以及补充条款等，但应当在合理的必要范围内。对任何已经公布过的内容或与之内容相同的资料，以及供应商已经泄露或公开的，无须再承担保密责任。</w:t>
      </w:r>
    </w:p>
    <w:p>
      <w:pPr>
        <w:pStyle w:val="null3"/>
        <w:outlineLvl w:val="3"/>
      </w:pPr>
      <w:r>
        <w:rPr>
          <w:sz w:val="24"/>
          <w:b/>
        </w:rPr>
        <w:t>9.语言文字以及度量衡单位</w:t>
      </w:r>
    </w:p>
    <w:p>
      <w:pPr>
        <w:pStyle w:val="null3"/>
        <w:ind w:firstLine="480"/>
      </w:pPr>
      <w:r>
        <w:rPr/>
        <w:t xml:space="preserve"> 9.1除磋商文件另有规定外，响应文件应使用中文文本，若有不同文本，以中文文本为准。响应文件提供的全部资料中，若原件属于非中文描述，应提供具有翻译资质的机构翻译的中文译本。前述翻译机构应为中国翻译协会成员单位，翻译的中文译本应由翻译人员签名并加盖翻译机构公章，同时提供翻译人员翻译资格证书。中文译本、翻译机构的成员单位证书及翻译人员的资格证书可为复印件。</w:t>
      </w:r>
    </w:p>
    <w:p>
      <w:pPr>
        <w:pStyle w:val="null3"/>
        <w:ind w:firstLine="480"/>
      </w:pPr>
      <w:r>
        <w:rPr/>
        <w:t>9.2除非磋商文件的技术规格中另有规定，供应商在响应文件中及其与采购人和采购代理机构的所有往来文件中的计量单位均应采用中华人民共和国法定计量单位。</w:t>
      </w:r>
    </w:p>
    <w:p>
      <w:pPr>
        <w:pStyle w:val="null3"/>
        <w:ind w:firstLine="480"/>
      </w:pPr>
      <w:r>
        <w:rPr/>
        <w:t>9.3供应商所提供的货物和服务均应以人民币报价，货币单位：元。</w:t>
      </w:r>
    </w:p>
    <w:p>
      <w:pPr>
        <w:pStyle w:val="null3"/>
        <w:outlineLvl w:val="3"/>
      </w:pPr>
      <w:r>
        <w:rPr>
          <w:sz w:val="24"/>
          <w:b/>
        </w:rPr>
        <w:t>10. 现场踏勘（如有）</w:t>
      </w:r>
    </w:p>
    <w:p>
      <w:pPr>
        <w:pStyle w:val="null3"/>
        <w:ind w:firstLine="480"/>
      </w:pPr>
      <w:r>
        <w:rPr/>
        <w:t>10.1磋商文件规定组织踏勘现场的，采购人按磋商文件规定的时间、地点组织供应商踏勘项目现场。</w:t>
      </w:r>
    </w:p>
    <w:p>
      <w:pPr>
        <w:pStyle w:val="null3"/>
        <w:ind w:firstLine="480"/>
      </w:pPr>
      <w:r>
        <w:rPr/>
        <w:t>10.2供应商自行承担踏勘现场发生的责任、风险和自身费用。</w:t>
      </w:r>
    </w:p>
    <w:p>
      <w:pPr>
        <w:pStyle w:val="null3"/>
        <w:ind w:firstLine="480"/>
      </w:pPr>
      <w:r>
        <w:rPr/>
        <w:t>10.3采购人在踏勘现场中介绍的资料和数据等，不构成对磋商文件的修改或不作为供应商编制响应文件的依据。</w:t>
      </w:r>
    </w:p>
    <w:p>
      <w:pPr>
        <w:pStyle w:val="null3"/>
        <w:outlineLvl w:val="2"/>
      </w:pPr>
      <w:r>
        <w:rPr>
          <w:sz w:val="28"/>
          <w:b/>
        </w:rPr>
        <w:t>四、磋商文件的澄清和修改</w:t>
      </w:r>
    </w:p>
    <w:p>
      <w:pPr>
        <w:pStyle w:val="null3"/>
        <w:ind w:firstLine="480"/>
      </w:pPr>
      <w:r>
        <w:rPr/>
        <w:t xml:space="preserve"> 1.采购代理机构对磋商文件进行必要的澄清或者修改的，在指定媒体上发布更正公告。澄清或者修改的内容可能影响响应文件编制的，更正公告在递交响应文件截止时间至少5日前发出；不足5日的，代理机构顺延提交响应文件截止时间。</w:t>
      </w:r>
    </w:p>
    <w:p>
      <w:pPr>
        <w:pStyle w:val="null3"/>
        <w:ind w:firstLine="480"/>
      </w:pPr>
      <w:r>
        <w:rPr/>
        <w:t xml:space="preserve"> 2.更正公告及其所发布的内容或信息（包括但不限于：磋商文件的澄清或修改、现场考察或答疑会的有关事宜等）作为磋商文件的组成部分，对供应商具有约束力。一经在指定媒体上发布后，更正公告将作为通知所有磋商文件收受人的书面形式。</w:t>
      </w:r>
    </w:p>
    <w:p>
      <w:pPr>
        <w:pStyle w:val="null3"/>
        <w:ind w:firstLine="480"/>
      </w:pPr>
      <w:r>
        <w:rPr/>
        <w:t>3.如更正公告有重新发布电子磋商文件的，供应商应登录云平台项目采购系统下载最新发布的电子磋商文件制作响应文件。</w:t>
      </w:r>
    </w:p>
    <w:p>
      <w:pPr>
        <w:pStyle w:val="null3"/>
        <w:ind w:firstLine="480"/>
      </w:pPr>
      <w:r>
        <w:rPr/>
        <w:t xml:space="preserve"> 4.供应商在规定的时间内未对磋商文件提出疑问、质疑或要求澄清的，将视其为无异议。对磋商文件中描述有歧义或前后不一致的地方，磋商小组有权进行评判，但对同一条款的评判应适用于每个供应商。</w:t>
      </w:r>
    </w:p>
    <w:p>
      <w:pPr>
        <w:pStyle w:val="null3"/>
        <w:outlineLvl w:val="2"/>
      </w:pPr>
      <w:r>
        <w:rPr>
          <w:sz w:val="28"/>
          <w:b/>
        </w:rPr>
        <w:t>五、响应要求</w:t>
      </w:r>
    </w:p>
    <w:p>
      <w:pPr>
        <w:pStyle w:val="null3"/>
        <w:outlineLvl w:val="3"/>
      </w:pPr>
      <w:r>
        <w:rPr>
          <w:sz w:val="24"/>
          <w:b/>
        </w:rPr>
        <w:t>1.响应登记</w:t>
      </w:r>
    </w:p>
    <w:p>
      <w:pPr>
        <w:pStyle w:val="null3"/>
        <w:ind w:firstLine="480"/>
      </w:pPr>
      <w:r>
        <w:rPr/>
        <w:t xml:space="preserve"> 供应商应从广东省政府采购网（https://gdgpo.czt.gd.gov.cn/）上广东政府采购智慧云平台（以下简称“云平台”）的政府采购供应商入口进行免费注册并点击登录进入项目采购系统完成项目响应登记并在线获取磋商文件（未按上述方式获取磋商文件的供应商，其响应资格将被视为无效）。</w:t>
      </w:r>
    </w:p>
    <w:p>
      <w:pPr>
        <w:pStyle w:val="null3"/>
        <w:outlineLvl w:val="3"/>
      </w:pPr>
      <w:r>
        <w:rPr>
          <w:sz w:val="24"/>
          <w:b/>
        </w:rPr>
        <w:t>2.响应文件的制作</w:t>
      </w:r>
    </w:p>
    <w:p>
      <w:pPr>
        <w:pStyle w:val="null3"/>
        <w:ind w:firstLine="480"/>
      </w:pPr>
      <w:r>
        <w:rPr/>
        <w:t>2.1响应文件中，所有内容均以电子文件编制，其格式要求详见第六章说明。如因不按要求编制导致系统无法检索、读取相关信息时，其后果由供应商承担。由于本项目采用电子化投标，请充分考虑设备、网络环境、人员对系统熟悉度等因素，合理安排响应文件制作、提交时间，建议至少提前一天完成制作、提交工作。</w:t>
      </w:r>
    </w:p>
    <w:p>
      <w:pPr>
        <w:pStyle w:val="null3"/>
        <w:ind w:firstLine="480"/>
      </w:pPr>
      <w:r>
        <w:rPr/>
        <w:t xml:space="preserve"> 2.2供应商应使用云平台提供的投标客户端编制、标记、加密响应文件，成功加密后将生成指定格式的电子响应文件和电子备用响应文件。所有响应文件不能进行压缩处理。关于电子磋商报价说明如下：</w:t>
      </w:r>
    </w:p>
    <w:p>
      <w:pPr>
        <w:pStyle w:val="null3"/>
        <w:ind w:firstLine="480"/>
      </w:pPr>
      <w:r>
        <w:rPr/>
        <w:t xml:space="preserve"> （1）供应商应按照“第二章采购需求”的需求内容、责任范围以及合同条款进行报价。并按“首轮报价表”和“分项报价表”规定的格式报出总价和分项价格。磋商总价中不得包含磋商文件要求以外的内容，否则，在评审时不予核减。</w:t>
      </w:r>
    </w:p>
    <w:p>
      <w:pPr>
        <w:pStyle w:val="null3"/>
        <w:ind w:firstLine="480"/>
      </w:pPr>
      <w:r>
        <w:rPr/>
        <w:t>（2）磋商报价包括本项目采购需求和投入使用的所有费用，包括但不限于主件、标准附件、备品备件、施工、服务、专用工具、安装、调试、检验、培训、运输、保险、税款等。</w:t>
      </w:r>
    </w:p>
    <w:p>
      <w:pPr>
        <w:pStyle w:val="null3"/>
        <w:ind w:firstLine="480"/>
      </w:pPr>
      <w:r>
        <w:rPr/>
        <w:t>（3）磋商报价不得有选择性报价和附有条件的报价，否则将导致响应无效。</w:t>
      </w:r>
    </w:p>
    <w:p>
      <w:pPr>
        <w:pStyle w:val="null3"/>
        <w:ind w:firstLine="480"/>
      </w:pPr>
      <w:r>
        <w:rPr/>
        <w:t>2.3如有对多个采购包响应的，要对每个采购包独立制作电子响应文件。</w:t>
      </w:r>
    </w:p>
    <w:p>
      <w:pPr>
        <w:pStyle w:val="null3"/>
        <w:ind w:firstLine="480"/>
      </w:pPr>
      <w:r>
        <w:rPr/>
        <w:t>2.4供应商不得将同一个项目或同一个采购包的内容拆开响应，否则其报价将被视为非实质性响应。</w:t>
      </w:r>
    </w:p>
    <w:p>
      <w:pPr>
        <w:pStyle w:val="null3"/>
        <w:ind w:firstLine="480"/>
      </w:pPr>
      <w:r>
        <w:rPr/>
        <w:t>2.5供应商须对磋商文件的对应要求给予唯一的实质性响应，否则将视为不响应。</w:t>
      </w:r>
    </w:p>
    <w:p>
      <w:pPr>
        <w:pStyle w:val="null3"/>
        <w:ind w:firstLine="480"/>
      </w:pPr>
      <w:r>
        <w:rPr/>
        <w:t>2.6磋商文件中，凡标有“★”的地方均为实质性响应条款，供应商若有一项带“★”的条款未响应或不满足，将按无效响应处理。</w:t>
      </w:r>
    </w:p>
    <w:p>
      <w:pPr>
        <w:pStyle w:val="null3"/>
        <w:ind w:firstLine="480"/>
      </w:pPr>
      <w:r>
        <w:rPr/>
        <w:t xml:space="preserve"> 2.7供应商必须按磋商文件指定的格式填写各种报价，各报价应计算正确。除在磋商文件另有规定外（如：报折扣、报优惠率等），计量单位应使用中华人民共和国法定计量单位，以人民币填报所有报价。</w:t>
      </w:r>
    </w:p>
    <w:p>
      <w:pPr>
        <w:pStyle w:val="null3"/>
        <w:ind w:firstLine="480"/>
      </w:pPr>
      <w:r>
        <w:rPr/>
        <w:t xml:space="preserve"> 2.8响应文件以及供应商与采购人、代理机构就有关响应的往来函电均应使用中文。供应商提交的支持性文件和印制的文件可以用另一种语言，但相应内容应翻译成中文，在解释响应文件时以中文文本为准。</w:t>
      </w:r>
    </w:p>
    <w:p>
      <w:pPr>
        <w:pStyle w:val="null3"/>
        <w:ind w:firstLine="480"/>
      </w:pPr>
      <w:r>
        <w:rPr/>
        <w:t xml:space="preserve"> 2.9供应商应按磋商文件的规定及附件要求的内容和格式完整地填写和提供资料。供应商必须对响应文件所提供的全部资料的真实性承担法律责任，并无条件接受采购人和政府采购监督管理部门对其中任何资料进行核实（核对原件）的要求。采购人核对发现有不一致或供应商无正当理由不按时提供原件的，应当书面知会代理机构，并书面报告本级人民政府财政部门。</w:t>
      </w:r>
    </w:p>
    <w:p>
      <w:pPr>
        <w:pStyle w:val="null3"/>
        <w:outlineLvl w:val="3"/>
      </w:pPr>
      <w:r>
        <w:rPr>
          <w:sz w:val="24"/>
          <w:b/>
        </w:rPr>
        <w:t>3.响应文件的提交</w:t>
      </w:r>
    </w:p>
    <w:p>
      <w:pPr>
        <w:pStyle w:val="null3"/>
        <w:ind w:firstLine="480"/>
      </w:pPr>
      <w:r>
        <w:rPr/>
        <w:t xml:space="preserve"> 3.1在响应文件提交截止时间前，供应商须将电子响应文件成功完整上传到云平台项目采购系统，且取得响应回执。时间以云平台项目采购系统服务器从中国科学院国家授时中心取得的北京时间为准，递交响应文件截止时间结束后，系统将不允许供应商上传响应文件，已上传响应文件但未完成传输的文件系统将拒绝接收。</w:t>
      </w:r>
    </w:p>
    <w:p>
      <w:pPr>
        <w:pStyle w:val="null3"/>
        <w:ind w:firstLine="480"/>
      </w:pPr>
      <w:r>
        <w:rPr/>
        <w:t>3.2代理机构对因不可抗力事件造成的响应文件的损坏、丢失的，不承担责任。</w:t>
      </w:r>
    </w:p>
    <w:p>
      <w:pPr>
        <w:pStyle w:val="null3"/>
        <w:ind w:firstLine="480"/>
      </w:pPr>
      <w:r>
        <w:rPr/>
        <w:t>3.3出现下述情形之一，属于未成功提交响应文件，按无效响应处理：</w:t>
      </w:r>
    </w:p>
    <w:p>
      <w:pPr>
        <w:pStyle w:val="null3"/>
        <w:ind w:firstLine="480"/>
      </w:pPr>
      <w:r>
        <w:rPr/>
        <w:t>（1）至提交响应文件截止时，响应文件未完整上传并取得响应回执的。</w:t>
      </w:r>
    </w:p>
    <w:p>
      <w:pPr>
        <w:pStyle w:val="null3"/>
        <w:ind w:firstLine="480"/>
      </w:pPr>
      <w:r>
        <w:rPr/>
        <w:t>（2）响应文件未按响应格式中注明需签字盖章的要求进行签名（含电子签名）和加盖电子印章，或签名（含电子签名）或电子印章不完整的。</w:t>
      </w:r>
    </w:p>
    <w:p>
      <w:pPr>
        <w:pStyle w:val="null3"/>
        <w:ind w:firstLine="480"/>
      </w:pPr>
      <w:r>
        <w:rPr/>
        <w:t>（3）响应文件损坏或格式不正确的。</w:t>
      </w:r>
    </w:p>
    <w:p>
      <w:pPr>
        <w:pStyle w:val="null3"/>
        <w:outlineLvl w:val="3"/>
      </w:pPr>
      <w:r>
        <w:rPr>
          <w:sz w:val="24"/>
          <w:b/>
        </w:rPr>
        <w:t>4.响应文件的修改、撤回与撤销</w:t>
      </w:r>
    </w:p>
    <w:p>
      <w:pPr>
        <w:pStyle w:val="null3"/>
        <w:ind w:firstLine="480"/>
      </w:pPr>
      <w:r>
        <w:rPr/>
        <w:t xml:space="preserve"> 4.1在提交响应文件截止时间前，供应商可以修改或撤回未解密的电子响应文件，并于提交响应文件截止时间前将修改后重新生成的电子响应文件上传至系统，到达响应文件提交截止时间后，将不允许修改或撤回。</w:t>
      </w:r>
    </w:p>
    <w:p>
      <w:pPr>
        <w:pStyle w:val="null3"/>
        <w:ind w:firstLine="480"/>
      </w:pPr>
      <w:r>
        <w:rPr/>
        <w:t>4.2在提交响应文件截止时间后，供应商不得补充、修改和更换响应文件。</w:t>
      </w:r>
    </w:p>
    <w:p>
      <w:pPr>
        <w:pStyle w:val="null3"/>
        <w:outlineLvl w:val="3"/>
      </w:pPr>
      <w:r>
        <w:rPr>
          <w:sz w:val="24"/>
          <w:b/>
        </w:rPr>
        <w:t>5.响应文件的解密</w:t>
      </w:r>
    </w:p>
    <w:p>
      <w:pPr>
        <w:pStyle w:val="null3"/>
        <w:ind w:firstLine="480"/>
      </w:pPr>
      <w:r>
        <w:rPr/>
        <w:t xml:space="preserve"> 到达开启时间后，供应商需携带并使用制作该响应文件的同一数字证书参加开启解密，供应商须在采购代理机构规定的时间内完成响应文件解密，供应商未携带数字证书或其他非系统原因导致的逾期未解密响应文件，将作无效响应处理。</w:t>
      </w:r>
    </w:p>
    <w:p>
      <w:pPr>
        <w:pStyle w:val="null3"/>
        <w:outlineLvl w:val="3"/>
      </w:pPr>
      <w:r>
        <w:rPr>
          <w:sz w:val="24"/>
          <w:b/>
        </w:rPr>
        <w:t>6.响应保证金</w:t>
      </w:r>
    </w:p>
    <w:p>
      <w:pPr>
        <w:pStyle w:val="null3"/>
        <w:ind w:firstLine="480"/>
      </w:pPr>
      <w:r>
        <w:rPr/>
        <w:t xml:space="preserve"> 6.1响应保证金的缴纳</w:t>
      </w:r>
    </w:p>
    <w:p>
      <w:pPr>
        <w:pStyle w:val="null3"/>
        <w:ind w:firstLine="480"/>
      </w:pPr>
      <w:r>
        <w:rPr/>
        <w:t>供应商在提交响应文件的同时，应按供应商须知前附表规定的金额和缴纳要求缴纳响应保证金，并作为其响应文件的组成部分。</w:t>
      </w:r>
    </w:p>
    <w:p>
      <w:pPr>
        <w:pStyle w:val="null3"/>
        <w:ind w:firstLine="480"/>
      </w:pPr>
      <w:r>
        <w:rPr/>
        <w:t xml:space="preserve"> 如采用转账、支票、本票、汇票形式提交的，响应保证金从供应商基本账户递交，由</w:t>
      </w:r>
      <w:r>
        <w:rPr/>
        <w:t>广东省建东工程监理有限公司中山分公司</w:t>
      </w:r>
      <w:r>
        <w:rPr/>
        <w:t>代收。具体操作要求详见</w:t>
      </w:r>
      <w:r>
        <w:rPr/>
        <w:t>广东省建东工程监理有限公司中山分公司</w:t>
      </w:r>
      <w:r>
        <w:rPr/>
        <w:t>有关指引，递交事宜请自行咨询</w:t>
      </w:r>
      <w:r>
        <w:rPr/>
        <w:t>广东省建东工程监理有限公司中山分公司</w:t>
      </w:r>
      <w:r>
        <w:rPr/>
        <w:t>；请各供应商在响应文件递交截止时间前按须知前附表规定的金额递交至</w:t>
      </w:r>
      <w:r>
        <w:rPr/>
        <w:t>广东省建东工程监理有限公司中山分公司</w:t>
      </w:r>
      <w:r>
        <w:rPr/>
        <w:t>，到账情况以开启时</w:t>
      </w:r>
      <w:r>
        <w:rPr/>
        <w:t>广东省建东工程监理有限公司中山分公司</w:t>
      </w:r>
      <w:r>
        <w:rPr/>
        <w:t>查询的信息为准。</w:t>
      </w:r>
    </w:p>
    <w:p>
      <w:pPr>
        <w:pStyle w:val="null3"/>
        <w:ind w:firstLine="480"/>
      </w:pPr>
      <w:r>
        <w:rPr/>
        <w:t>如采用金融机构、专业担保机构开具的响应保函、响应保证保险函等形式提交响应保证金的，响应保函或响应保证保险函须开具给采购人（保险受益人须为采购人），并与响应文件一同递交。</w:t>
      </w:r>
    </w:p>
    <w:p>
      <w:pPr>
        <w:pStyle w:val="null3"/>
        <w:ind w:firstLine="480"/>
      </w:pPr>
      <w:r>
        <w:rPr/>
        <w:t xml:space="preserve"> 供应商可通过"广东政府采购智慧云平台金融服务中心"(https://gdgpo.czt.gd.gov.cn/zcdservice/zcd/guangdong/)，申请办理电子保函，电子保函与纸质保函具有同样效力。</w:t>
      </w:r>
    </w:p>
    <w:p>
      <w:pPr>
        <w:pStyle w:val="null3"/>
        <w:ind w:firstLine="480"/>
      </w:pPr>
      <w:r>
        <w:rPr/>
        <w:t xml:space="preserve"> 注意事项：供应商通过线下方式缴纳保证金（转账、支票、汇票、本票、纸质保函）的，需准备缴纳凭证的扫描件作为核验凭证；通过电子保函形式缴纳保证金的，如遇开启或评审现场无法拉取电子保函信息时，可提供电子保函打印件或购买凭证作为核验凭证。相关凭证应上传至系统归档保存。</w:t>
      </w:r>
    </w:p>
    <w:p>
      <w:pPr>
        <w:pStyle w:val="null3"/>
        <w:ind w:firstLine="480"/>
      </w:pPr>
      <w:r>
        <w:rPr/>
        <w:t>6.2响应保证金的退还：</w:t>
      </w:r>
    </w:p>
    <w:p>
      <w:pPr>
        <w:pStyle w:val="null3"/>
        <w:ind w:firstLine="480"/>
      </w:pPr>
      <w:r>
        <w:rPr/>
        <w:t>（1）供应商在递交响应文件截止时间前放弃响应的，自所投采购包结果公告发出后5个工作日内退还。</w:t>
      </w:r>
    </w:p>
    <w:p>
      <w:pPr>
        <w:pStyle w:val="null3"/>
        <w:ind w:firstLine="480"/>
      </w:pPr>
      <w:r>
        <w:rPr/>
        <w:t>（2）未成交的供应商保证金，在成交通知书发出后5个工作日内原额退还。</w:t>
      </w:r>
    </w:p>
    <w:p>
      <w:pPr>
        <w:pStyle w:val="null3"/>
        <w:ind w:firstLine="480"/>
      </w:pPr>
      <w:r>
        <w:rPr/>
        <w:t>（3）成交供应商的响应保证金,在成交供应商与采购人签订采购合同后5个工作日内原额退还。</w:t>
      </w:r>
    </w:p>
    <w:p>
      <w:pPr>
        <w:pStyle w:val="null3"/>
        <w:ind w:firstLine="480"/>
      </w:pPr>
      <w:r>
        <w:rPr/>
        <w:t>备注：但因供应商自身原因导致无法及时退还的除外。</w:t>
      </w:r>
    </w:p>
    <w:p>
      <w:pPr>
        <w:pStyle w:val="null3"/>
        <w:ind w:firstLine="480"/>
      </w:pPr>
      <w:r>
        <w:rPr/>
        <w:t xml:space="preserve"> 6.3有下列情形之一的，响应保证金将不予退还并上缴国库：</w:t>
      </w:r>
    </w:p>
    <w:p>
      <w:pPr>
        <w:pStyle w:val="null3"/>
        <w:ind w:firstLine="480"/>
      </w:pPr>
      <w:r>
        <w:rPr/>
        <w:t>（1）提供虚假材料谋取成交的；</w:t>
      </w:r>
    </w:p>
    <w:p>
      <w:pPr>
        <w:pStyle w:val="null3"/>
        <w:ind w:firstLine="480"/>
      </w:pPr>
      <w:r>
        <w:rPr/>
        <w:t>（2）供应商在磋商文件规定的响应有效期内撤销其响应；</w:t>
      </w:r>
    </w:p>
    <w:p>
      <w:pPr>
        <w:pStyle w:val="null3"/>
        <w:ind w:firstLine="480"/>
      </w:pPr>
      <w:r>
        <w:rPr/>
        <w:t>（3）成交后，无正当理由放弃成交资格；</w:t>
      </w:r>
    </w:p>
    <w:p>
      <w:pPr>
        <w:pStyle w:val="null3"/>
        <w:ind w:firstLine="480"/>
      </w:pPr>
      <w:r>
        <w:rPr/>
        <w:t>（4）成交后，无正当理由不与采购人签订合同；</w:t>
      </w:r>
    </w:p>
    <w:p>
      <w:pPr>
        <w:pStyle w:val="null3"/>
        <w:ind w:firstLine="480"/>
      </w:pPr>
      <w:r>
        <w:rPr/>
        <w:t>（5）法律法规和磋商文件规定的其他情形。</w:t>
      </w:r>
    </w:p>
    <w:p>
      <w:pPr>
        <w:pStyle w:val="null3"/>
        <w:outlineLvl w:val="3"/>
      </w:pPr>
      <w:r>
        <w:rPr>
          <w:sz w:val="24"/>
          <w:b/>
        </w:rPr>
        <w:t>7.响应有效期</w:t>
      </w:r>
    </w:p>
    <w:p>
      <w:pPr>
        <w:pStyle w:val="null3"/>
        <w:ind w:firstLine="480"/>
      </w:pPr>
      <w:r>
        <w:rPr/>
        <w:t>7.1响应有效期内供应商撤销响应文件的，采购人或者采购代理机构可以不退还响应保证金（如有）。采用响应保函方式替代保证金的，采购人或者采购代理机构可以向担保机构索赔保证金。</w:t>
      </w:r>
    </w:p>
    <w:p>
      <w:pPr>
        <w:pStyle w:val="null3"/>
        <w:ind w:firstLine="480"/>
      </w:pPr>
      <w:r>
        <w:rPr/>
        <w:t xml:space="preserve"> 7.2出现特殊情况需延长响应有效期的，采购人或采购代理机构可于响应有效期满之前要求供应商同意延长有效期，要求与答复均以书面形式通知所有供应商。供应商同意延长的，应相应延长其响应保证金（如有）的有效期，但不得要求或被允许修改或撤销其响应文件；供应商可以拒绝延长有效期，但其响应将会被视为无效，拒绝延长有效期的供应商有权收回其响应保证金（如有）。采用响应保函方式替代保证金的，响应有效期超出保函有效期的，采购人或者采购代理机构应提示响应供应商重新开函，未获得有效保函的响应供应商其响应将会被视为无效。</w:t>
      </w:r>
    </w:p>
    <w:p>
      <w:pPr>
        <w:pStyle w:val="null3"/>
        <w:outlineLvl w:val="3"/>
      </w:pPr>
      <w:r>
        <w:rPr>
          <w:sz w:val="24"/>
          <w:b/>
        </w:rPr>
        <w:t>8.样品（演示）</w:t>
      </w:r>
    </w:p>
    <w:p>
      <w:pPr>
        <w:pStyle w:val="null3"/>
        <w:ind w:firstLine="480"/>
      </w:pPr>
      <w:r>
        <w:rPr/>
        <w:t>8.1磋商文件规定供应商提交样品的，样品属于响应文件的组成部分。样品的生产、运输、安装、保全等一切费用由供应商自理。</w:t>
      </w:r>
    </w:p>
    <w:p>
      <w:pPr>
        <w:pStyle w:val="null3"/>
        <w:ind w:firstLine="480"/>
      </w:pPr>
      <w:r>
        <w:rPr/>
        <w:t>8.2递交响应文件截止时间前，供应商应将样品送达至指定地点。若需要现场演示的，供应商应提前做好演示准备（包括演示设备）。</w:t>
      </w:r>
    </w:p>
    <w:p>
      <w:pPr>
        <w:pStyle w:val="null3"/>
        <w:ind w:firstLine="480"/>
      </w:pPr>
      <w:r>
        <w:rPr/>
        <w:t xml:space="preserve"> 8.3采购结果公告发布后，成交供应商的样品由采购人封存，作为履约验收的依据之一。未成交供应商在接到采购代理机构通知后，应按规定时间尽快自行取回样品，否则视同供应商不再认领，代理机构有权进行处理。</w:t>
      </w:r>
    </w:p>
    <w:p>
      <w:pPr>
        <w:pStyle w:val="null3"/>
        <w:outlineLvl w:val="3"/>
      </w:pPr>
      <w:r>
        <w:rPr>
          <w:sz w:val="24"/>
          <w:b/>
        </w:rPr>
        <w:t>9.除磋商文件另有规定外，有下列情形之一的，响应无效：</w:t>
      </w:r>
    </w:p>
    <w:p>
      <w:pPr>
        <w:pStyle w:val="null3"/>
        <w:ind w:firstLine="480"/>
      </w:pPr>
      <w:r>
        <w:rPr/>
        <w:t>9.1响应文件未按照磋商文件要求签署、盖章；</w:t>
      </w:r>
    </w:p>
    <w:p>
      <w:pPr>
        <w:pStyle w:val="null3"/>
        <w:ind w:firstLine="480"/>
      </w:pPr>
      <w:r>
        <w:rPr/>
        <w:t>9.2不符合磋商文件中规定的资格要求；</w:t>
      </w:r>
    </w:p>
    <w:p>
      <w:pPr>
        <w:pStyle w:val="null3"/>
        <w:ind w:firstLine="480"/>
      </w:pPr>
      <w:r>
        <w:rPr/>
        <w:t>9.3磋商报价超过磋商文件中规定的预算金额或最高限价；</w:t>
      </w:r>
    </w:p>
    <w:p>
      <w:pPr>
        <w:pStyle w:val="null3"/>
        <w:ind w:firstLine="480"/>
      </w:pPr>
      <w:r>
        <w:rPr/>
        <w:t>9.4响应文件含有采购人不能接受的附加条件；</w:t>
      </w:r>
    </w:p>
    <w:p>
      <w:pPr>
        <w:pStyle w:val="null3"/>
        <w:ind w:firstLine="480"/>
      </w:pPr>
      <w:r>
        <w:rPr/>
        <w:t>9.5有关法律、法规和规章及磋商文件规定的其他无效情形。</w:t>
      </w:r>
    </w:p>
    <w:p>
      <w:pPr>
        <w:pStyle w:val="null3"/>
        <w:outlineLvl w:val="2"/>
      </w:pPr>
      <w:r>
        <w:rPr>
          <w:sz w:val="28"/>
          <w:b/>
        </w:rPr>
        <w:t>六、磋商、评审和结果确定</w:t>
      </w:r>
    </w:p>
    <w:p>
      <w:pPr>
        <w:pStyle w:val="null3"/>
        <w:outlineLvl w:val="3"/>
      </w:pPr>
      <w:r>
        <w:rPr>
          <w:sz w:val="24"/>
          <w:b/>
        </w:rPr>
        <w:t>1.响应文件的开启</w:t>
      </w:r>
    </w:p>
    <w:p>
      <w:pPr>
        <w:pStyle w:val="null3"/>
        <w:ind w:firstLine="480"/>
      </w:pPr>
      <w:r>
        <w:rPr/>
        <w:t>1.1开启程序</w:t>
      </w:r>
    </w:p>
    <w:p>
      <w:pPr>
        <w:pStyle w:val="null3"/>
        <w:ind w:firstLine="480"/>
      </w:pPr>
      <w:r>
        <w:rPr/>
        <w:t>工作人员按磋商公告规定的时间进行开启，由采购人或者采购代理机构工作人员宣布供应商名称、解密情况和磋商文件规定的需要宣布的其他内容。开启分为现场电子开启和远程电子开启两种。</w:t>
      </w:r>
    </w:p>
    <w:p>
      <w:pPr>
        <w:pStyle w:val="null3"/>
        <w:ind w:firstLine="480"/>
      </w:pPr>
      <w:r>
        <w:rPr/>
        <w:t xml:space="preserve"> 采用现场电子开启的：供应商的法定代表人或其委托代理人应当按照本磋商公告载明的时间和地点前往参加开启，并携带编制本项目（采购包）电子响应文件时加密所用的数字证书、存储有备用电子响应文件的U盘前往开启现场。</w:t>
      </w:r>
    </w:p>
    <w:p>
      <w:pPr>
        <w:pStyle w:val="null3"/>
        <w:ind w:firstLine="480"/>
      </w:pPr>
      <w:r>
        <w:rPr/>
        <w:t xml:space="preserve"> 采用远程电子开启的：供应商的法定代表人或其授权代表应当按照本磋商公告载明的时间和模式等要求参加开启。在递交响应文件截止时间前30分钟，应当登录云平台开标大厅进行签到，并且填写授权代表的姓名与手机号码。若因签到时填写的授权代表信息有误而导致的不良后果，由供应商自行承担。</w:t>
      </w:r>
    </w:p>
    <w:p>
      <w:pPr>
        <w:pStyle w:val="null3"/>
        <w:ind w:firstLine="480"/>
      </w:pPr>
      <w:r>
        <w:rPr/>
        <w:t xml:space="preserve"> 开启时，供应商应当使用编制本项目（采购包）电子响应文件时加密所用数字证书在开始解密后按照代理机构规定的时间内完成电子响应文件的解密，如遇不可抗力等其他特殊情况，采购代理机构可视情况延长解密时间。供应商未携带数字证书或其他非系统原因导致的在规定时间内未解密响应文件，将作无效响应处理。（采用远程电子开启的，各供应商在参加开启以前须自行对使用电脑的网络环境、驱动安装、客户端安装以及数字证书的有效性等进行检测，确保可以正常使用）。</w:t>
      </w:r>
    </w:p>
    <w:p>
      <w:pPr>
        <w:pStyle w:val="null3"/>
        <w:ind w:firstLine="480"/>
      </w:pPr>
      <w:r>
        <w:rPr/>
        <w:t xml:space="preserve"> 如在电子开启过程中出现无法正常解密的，代理机构可根据实际情况开启上传备用电子响应文件通道。系统将对上传的备用电子响应文件的合法性进行验证，若发现提交的备用电子响应文件与加密的电子响应文件版本不一致（即两份文件不是通过投标客户端同时加密生成的），系统将拒绝接收，视为无效响应。如供应商无法在代理规定的时间内完成备用电子响应文件的上传，响应将被拒绝，作无效响应处理。</w:t>
      </w:r>
    </w:p>
    <w:p>
      <w:pPr>
        <w:pStyle w:val="null3"/>
        <w:ind w:firstLine="480"/>
      </w:pPr>
      <w:r>
        <w:rPr/>
        <w:t>1.2异议</w:t>
      </w:r>
    </w:p>
    <w:p>
      <w:pPr>
        <w:pStyle w:val="null3"/>
        <w:ind w:firstLine="480"/>
      </w:pPr>
      <w:r>
        <w:rPr/>
        <w:t>供应商代表对开启过程和开启记录有疑义，以及认为采购人、采购代理机构相关工作人员有需要回避的情形的，应当场提出询问或者回避申请。供应商未参加开启的，视同认可开启结果。</w:t>
      </w:r>
    </w:p>
    <w:p>
      <w:pPr>
        <w:pStyle w:val="null3"/>
        <w:ind w:firstLine="480"/>
      </w:pPr>
      <w:r>
        <w:rPr/>
        <w:t>1.3开启时出现下列情况的，视为响应无效处理</w:t>
      </w:r>
    </w:p>
    <w:p>
      <w:pPr>
        <w:pStyle w:val="null3"/>
        <w:ind w:firstLine="480"/>
      </w:pPr>
      <w:r>
        <w:rPr/>
        <w:t>（1）经检查数字证书无效的；</w:t>
      </w:r>
    </w:p>
    <w:p>
      <w:pPr>
        <w:pStyle w:val="null3"/>
        <w:ind w:firstLine="480"/>
      </w:pPr>
      <w:r>
        <w:rPr/>
        <w:t>（2）因供应商自身原因，未在规定时间内完成电子响应文件解密的；</w:t>
      </w:r>
    </w:p>
    <w:p>
      <w:pPr>
        <w:pStyle w:val="null3"/>
        <w:ind w:firstLine="480"/>
      </w:pPr>
      <w:r>
        <w:rPr/>
        <w:t>（3）如需使用备用电子响应文件解密时，在规定的解密时间内无法提供备用电子响应文件或提供的备用电子响应文件与加密的电子响应文件版本不一致（即两份文件不是通过投标客户端同时加密生成的）。</w:t>
      </w:r>
    </w:p>
    <w:p>
      <w:pPr>
        <w:pStyle w:val="null3"/>
        <w:outlineLvl w:val="3"/>
      </w:pPr>
      <w:r>
        <w:rPr>
          <w:sz w:val="24"/>
          <w:b/>
        </w:rPr>
        <w:t>2.评审（详见第四章）</w:t>
      </w:r>
    </w:p>
    <w:p>
      <w:pPr>
        <w:pStyle w:val="null3"/>
        <w:outlineLvl w:val="3"/>
      </w:pPr>
      <w:r>
        <w:rPr>
          <w:sz w:val="24"/>
          <w:b/>
        </w:rPr>
        <w:t>3.成交</w:t>
      </w:r>
    </w:p>
    <w:p>
      <w:pPr>
        <w:pStyle w:val="null3"/>
        <w:ind w:firstLine="480"/>
      </w:pPr>
      <w:r>
        <w:rPr/>
        <w:t>3.1成交结果公告：</w:t>
      </w:r>
    </w:p>
    <w:p>
      <w:pPr>
        <w:pStyle w:val="null3"/>
        <w:ind w:firstLine="480"/>
      </w:pPr>
      <w:r>
        <w:rPr/>
        <w:t xml:space="preserve"> 成交供应商确定之日起2个工作日内，采购人或采购代理机构将在中国政府采购网(www.ccgp.gov.cn)、广东省政府采购网(https://gdgpo.czt.gd.gov.cn/)、</w:t>
      </w:r>
      <w:r>
        <w:rPr/>
        <w:t>广东省公共资源交易平台（https://ygp.gdzwfw.gov.cn/#/442000/index），采购代理机构网站 （http://www.gdjdjl.com/）。</w:t>
      </w:r>
      <w:r>
        <w:rPr/>
        <w:t>上以公告的形式发布成交结果，结果公告的公告期限为 1 个工作日。结果公告同时作为采购代理机构通知除成交供应商外的其他供应商没有成交的书面形式，采购代理机构不再以其它方式另行通知。</w:t>
      </w:r>
    </w:p>
    <w:p>
      <w:pPr>
        <w:pStyle w:val="null3"/>
        <w:ind w:firstLine="480"/>
      </w:pPr>
      <w:r>
        <w:rPr/>
        <w:t>3.2成交通知书：</w:t>
      </w:r>
    </w:p>
    <w:p>
      <w:pPr>
        <w:pStyle w:val="null3"/>
        <w:ind w:firstLine="480"/>
      </w:pPr>
      <w:r>
        <w:rPr/>
        <w:t xml:space="preserve"> 采购人或采购代理机构在发布结果公告时，在云平台同步发送至成交供应商。成交供应商可在云平台自行下载打印《成交通知书》，《成交通知书》将作为授予合同资格的唯一合法依据。成交通知书发出后，采购人不得违法改变成交结果，成交供应商不得放弃成交。成交供应商放弃成交的，应当依法承担相应的法律责任。</w:t>
      </w:r>
    </w:p>
    <w:p>
      <w:pPr>
        <w:pStyle w:val="null3"/>
        <w:ind w:firstLine="480"/>
      </w:pPr>
      <w:r>
        <w:rPr/>
        <w:t>3.3终止公告：</w:t>
      </w:r>
    </w:p>
    <w:p>
      <w:pPr>
        <w:pStyle w:val="null3"/>
        <w:ind w:firstLine="480"/>
      </w:pPr>
      <w:r>
        <w:rPr/>
        <w:t xml:space="preserve"> 终止磋商采购活动后，采购人或采购代理机构将在中国政府采购网(www.ccgp.gov.cn)、广东省政府采购网(https://gdgpo.czt.gd.gov.cn/)、</w:t>
      </w:r>
      <w:r>
        <w:rPr/>
        <w:t>广东省公共资源交易平台（https://ygp.gdzwfw.gov.cn/#/442000/index），采购代理机构网站 （http://www.gdjdjl.com/）。</w:t>
      </w:r>
      <w:r>
        <w:rPr/>
        <w:t>上发布终止公告，终止公告的公告期限为 1 个工作日。</w:t>
      </w:r>
    </w:p>
    <w:p>
      <w:pPr>
        <w:pStyle w:val="null3"/>
        <w:outlineLvl w:val="2"/>
      </w:pPr>
      <w:r>
        <w:rPr>
          <w:sz w:val="28"/>
          <w:b/>
        </w:rPr>
        <w:t>七、询问、质疑与投诉</w:t>
      </w:r>
    </w:p>
    <w:p>
      <w:pPr>
        <w:pStyle w:val="null3"/>
        <w:outlineLvl w:val="3"/>
      </w:pPr>
      <w:r>
        <w:rPr>
          <w:sz w:val="24"/>
          <w:b/>
        </w:rPr>
        <w:t>1.询问</w:t>
      </w:r>
    </w:p>
    <w:p>
      <w:pPr>
        <w:pStyle w:val="null3"/>
        <w:ind w:firstLine="480"/>
      </w:pPr>
      <w:r>
        <w:rPr/>
        <w:t xml:space="preserve"> 供应商对政府采购活动事项（磋商文件、采购过程和成交结果）有疑问的，可以向采购人或采购代理机构提出询问，采购人或采购代理机构将及时作出答复，但答复的内容不涉及商业秘密。询问可以口头方式提出，也可以书面方式提出，书面方式包括但不限于传真、信函、电子邮件。联系方式见《响应邀请函》中“采购人、采购代理机构的名称、地址和联系方式”。</w:t>
      </w:r>
    </w:p>
    <w:p>
      <w:pPr>
        <w:pStyle w:val="null3"/>
        <w:outlineLvl w:val="3"/>
      </w:pPr>
      <w:r>
        <w:rPr>
          <w:sz w:val="24"/>
          <w:b/>
        </w:rPr>
        <w:t>2.质疑</w:t>
      </w:r>
    </w:p>
    <w:p>
      <w:pPr>
        <w:pStyle w:val="null3"/>
        <w:ind w:firstLine="480"/>
      </w:pPr>
      <w:r>
        <w:rPr/>
        <w:t xml:space="preserve"> 2.1供应商认为磋商文件、采购过程和成交结果使自己的权益受到损害的，可以在知道或者应知其权益受到损害之日起七个工作日内，以书面原件形式向采购人或采购代理机构一次性提出针对同一采购程序环节的质疑，逾期质疑无效。供应商应知其权益受到损害之日是指：</w:t>
      </w:r>
    </w:p>
    <w:p>
      <w:pPr>
        <w:pStyle w:val="null3"/>
        <w:ind w:firstLine="480"/>
      </w:pPr>
      <w:r>
        <w:rPr/>
        <w:t>（1）对磋商文件提出质疑的，为获取磋商文件之日或者磋商文件公告期限届满之日；</w:t>
      </w:r>
    </w:p>
    <w:p>
      <w:pPr>
        <w:pStyle w:val="null3"/>
        <w:ind w:firstLine="480"/>
      </w:pPr>
      <w:r>
        <w:rPr/>
        <w:t>（2）对采购过程提出质疑的，为各采购程序环节结束之日；</w:t>
      </w:r>
    </w:p>
    <w:p>
      <w:pPr>
        <w:pStyle w:val="null3"/>
        <w:ind w:firstLine="480"/>
      </w:pPr>
      <w:r>
        <w:rPr/>
        <w:t>（3）对成交结果提出质疑的，为成交结果公告期限届满之日。</w:t>
      </w:r>
    </w:p>
    <w:p>
      <w:pPr>
        <w:pStyle w:val="null3"/>
        <w:ind w:firstLine="480"/>
      </w:pPr>
      <w:r>
        <w:rPr/>
        <w:t>2.2质疑函应当包括下列主要内容：</w:t>
      </w:r>
    </w:p>
    <w:p>
      <w:pPr>
        <w:pStyle w:val="null3"/>
        <w:ind w:firstLine="480"/>
      </w:pPr>
      <w:r>
        <w:rPr/>
        <w:t>（1）质疑供应商和相关供应商的名称、地址、邮编、联系人及联系电话等；</w:t>
      </w:r>
    </w:p>
    <w:p>
      <w:pPr>
        <w:pStyle w:val="null3"/>
        <w:ind w:firstLine="480"/>
      </w:pPr>
      <w:r>
        <w:rPr/>
        <w:t>（2）质疑项目名称及编号、具体明确的质疑事项和与质疑事项相关的请求；</w:t>
      </w:r>
    </w:p>
    <w:p>
      <w:pPr>
        <w:pStyle w:val="null3"/>
        <w:ind w:firstLine="480"/>
      </w:pPr>
      <w:r>
        <w:rPr/>
        <w:t>（3）认为磋商文件、采购过程和成交结果使自己的合法权益受到损害的法律依据、事实依据、相关证明材料及证据来源；</w:t>
      </w:r>
    </w:p>
    <w:p>
      <w:pPr>
        <w:pStyle w:val="null3"/>
        <w:ind w:firstLine="480"/>
      </w:pPr>
      <w:r>
        <w:rPr/>
        <w:t>（4）提出质疑的日期。</w:t>
      </w:r>
    </w:p>
    <w:p>
      <w:pPr>
        <w:pStyle w:val="null3"/>
        <w:ind w:firstLine="480"/>
      </w:pPr>
      <w:r>
        <w:rPr/>
        <w:t>2.3质疑函应当署名。质疑供应商为自然人的，应当由本人签字；质疑供应商为法人或者其他组织的，应当由法定代表人、主要负责人，或者其授权代表签字或者盖章，并加盖公章。</w:t>
      </w:r>
    </w:p>
    <w:p>
      <w:pPr>
        <w:pStyle w:val="null3"/>
        <w:ind w:firstLine="480"/>
      </w:pPr>
      <w:r>
        <w:rPr/>
        <w:t>2.4以联合体形式参加政府采购活动的，其质疑应当由联合体成员委托主体提出。</w:t>
      </w:r>
    </w:p>
    <w:p>
      <w:pPr>
        <w:pStyle w:val="null3"/>
        <w:ind w:firstLine="480"/>
      </w:pPr>
      <w:r>
        <w:rPr/>
        <w:t xml:space="preserve"> 2.5供应商质疑应当有明确的请求和必要的证明材料。质疑内容不得含有虚假、恶意成份。依照谁主张谁举证的原则，提出质疑者必须同时提交相关确凿的证据材料和注明证据的确切来源，证据来源必须合法，采购人或采购代理机构有权将质疑函转发质疑事项各关联方，请其作出解释说明。对捏造事实、滥用维权扰乱采购秩序的恶意质疑者，将上报政府采购监督管理部门依法处理。</w:t>
      </w:r>
    </w:p>
    <w:p>
      <w:pPr>
        <w:pStyle w:val="null3"/>
        <w:ind w:firstLine="480"/>
      </w:pPr>
      <w:r>
        <w:rPr/>
        <w:t>2.6质疑联系方式如下：</w:t>
      </w:r>
    </w:p>
    <w:p>
      <w:pPr>
        <w:pStyle w:val="null3"/>
        <w:ind w:firstLine="480"/>
      </w:pPr>
      <w:r>
        <w:rPr/>
        <w:t>质疑联系人：</w:t>
      </w:r>
      <w:r>
        <w:rPr/>
        <w:t>罗小姐</w:t>
      </w:r>
    </w:p>
    <w:p>
      <w:pPr>
        <w:pStyle w:val="null3"/>
        <w:ind w:firstLine="480"/>
      </w:pPr>
      <w:r>
        <w:rPr/>
        <w:t>电话：</w:t>
      </w:r>
      <w:r>
        <w:rPr/>
        <w:t>0760-88399895</w:t>
      </w:r>
    </w:p>
    <w:p>
      <w:pPr>
        <w:pStyle w:val="null3"/>
        <w:ind w:firstLine="480"/>
      </w:pPr>
      <w:r>
        <w:rPr/>
        <w:t>传真：</w:t>
      </w:r>
      <w:r>
        <w:rPr/>
        <w:t>0760-88399895</w:t>
      </w:r>
    </w:p>
    <w:p>
      <w:pPr>
        <w:pStyle w:val="null3"/>
        <w:ind w:firstLine="480"/>
      </w:pPr>
      <w:r>
        <w:rPr/>
        <w:t>邮箱：</w:t>
      </w:r>
      <w:r>
        <w:rPr/>
        <w:t>jdzs_cg2017@163.com</w:t>
      </w:r>
    </w:p>
    <w:p>
      <w:pPr>
        <w:pStyle w:val="null3"/>
        <w:ind w:firstLine="480"/>
      </w:pPr>
      <w:r>
        <w:rPr/>
        <w:t>地址：</w:t>
      </w:r>
      <w:r>
        <w:rPr/>
        <w:t>中山市五桂山三合院16栋02单元102房</w:t>
      </w:r>
    </w:p>
    <w:p>
      <w:pPr>
        <w:pStyle w:val="null3"/>
        <w:ind w:firstLine="480"/>
      </w:pPr>
      <w:r>
        <w:rPr/>
        <w:t>邮编：</w:t>
      </w:r>
      <w:r>
        <w:rPr/>
        <w:t>528400</w:t>
      </w:r>
    </w:p>
    <w:p>
      <w:pPr>
        <w:pStyle w:val="null3"/>
        <w:outlineLvl w:val="3"/>
      </w:pPr>
      <w:r>
        <w:rPr>
          <w:sz w:val="24"/>
          <w:b/>
        </w:rPr>
        <w:t>3.投诉</w:t>
      </w:r>
    </w:p>
    <w:p>
      <w:pPr>
        <w:pStyle w:val="null3"/>
        <w:ind w:firstLine="480"/>
      </w:pPr>
      <w:r>
        <w:rPr/>
        <w:t>质疑人对采购人或采购代理机构的质疑答复不满意或在规定时间内未得到答复的，可以在答复期满后15个工作日内，按如下联系方式向本项目监督管理部门提起投诉。</w:t>
      </w:r>
    </w:p>
    <w:p>
      <w:pPr>
        <w:pStyle w:val="null3"/>
      </w:pPr>
      <w:r>
        <w:rPr/>
        <w:t>政府采购监督管理机构名称：中山市财政局政府采购监管科</w:t>
      </w:r>
    </w:p>
    <w:p>
      <w:pPr>
        <w:pStyle w:val="null3"/>
      </w:pPr>
      <w:r>
        <w:rPr/>
        <w:t>地 址：广东省中山市兴中道63号101室</w:t>
      </w:r>
    </w:p>
    <w:p>
      <w:pPr>
        <w:pStyle w:val="null3"/>
      </w:pPr>
      <w:r>
        <w:rPr/>
        <w:t>电 话：0760-88266155、88266299</w:t>
      </w:r>
    </w:p>
    <w:p>
      <w:pPr>
        <w:pStyle w:val="null3"/>
      </w:pPr>
      <w:r>
        <w:rPr/>
        <w:t>邮 编：528400</w:t>
      </w:r>
    </w:p>
    <w:p>
      <w:pPr>
        <w:pStyle w:val="null3"/>
      </w:pPr>
      <w:r>
        <w:rPr/>
        <w:t>传 真：0760-88266215</w:t>
      </w:r>
    </w:p>
    <w:p>
      <w:pPr>
        <w:pStyle w:val="null3"/>
        <w:outlineLvl w:val="2"/>
      </w:pPr>
      <w:r>
        <w:rPr>
          <w:sz w:val="28"/>
          <w:b/>
        </w:rPr>
        <w:t>八、合同签订和履行</w:t>
      </w:r>
    </w:p>
    <w:p>
      <w:pPr>
        <w:pStyle w:val="null3"/>
        <w:outlineLvl w:val="3"/>
      </w:pPr>
      <w:r>
        <w:rPr>
          <w:sz w:val="24"/>
          <w:b/>
        </w:rPr>
        <w:t>1.合同签订</w:t>
      </w:r>
    </w:p>
    <w:p>
      <w:pPr>
        <w:pStyle w:val="null3"/>
        <w:ind w:firstLine="480"/>
      </w:pPr>
      <w:r>
        <w:rPr/>
        <w:t xml:space="preserve"> 1.1采购人应当自《成交通知书》发出之日起三十日内，按照磋商文件和成交供应商响应文件的约定，与成交供应商签订合同。所签订的合同不得对磋商文件和成交供应商响应文件作实质性修改。</w:t>
      </w:r>
    </w:p>
    <w:p>
      <w:pPr>
        <w:pStyle w:val="null3"/>
        <w:ind w:firstLine="480"/>
      </w:pPr>
      <w:r>
        <w:rPr/>
        <w:t>1.2采购人不得提出试用合格等任何不合理的要求作为签订合同的条件，且不得与成交供应商私下订立背离合同实质性内容的协议。</w:t>
      </w:r>
    </w:p>
    <w:p>
      <w:pPr>
        <w:pStyle w:val="null3"/>
        <w:ind w:firstLine="480"/>
      </w:pPr>
      <w:r>
        <w:rPr/>
        <w:t>1.3合同条款中应规定，乙方完全遵守《中华人民共和国民法典》有关规定和《中华人民共和国妇女权益保障法》中关于“劳动和社会保障权益”的有关要求。</w:t>
      </w:r>
    </w:p>
    <w:p>
      <w:pPr>
        <w:pStyle w:val="null3"/>
        <w:ind w:firstLine="480"/>
      </w:pPr>
      <w:r>
        <w:rPr/>
        <w:t>1.4采购人应当自政府采购合同签订之日起2个工作日内，将政府采购合同在省级以上人民政府财政部门指定的媒体上公告，但政府采购合同中涉及国家秘密、商业秘密的内容除外。</w:t>
      </w:r>
    </w:p>
    <w:p>
      <w:pPr>
        <w:pStyle w:val="null3"/>
        <w:ind w:firstLine="480"/>
      </w:pPr>
      <w:r>
        <w:rPr/>
        <w:t xml:space="preserve"> 1.5采购人应当自政府采购合同签订之日起2个工作日内，登录广东省政府采购网上传政府采购合同扫描版，如实填报政府采购合同的签订时间。依法签订的补充合同，也应在补充合同签订之日起2个工作日内公开并备案采购合同。</w:t>
      </w:r>
    </w:p>
    <w:p>
      <w:pPr>
        <w:pStyle w:val="null3"/>
        <w:outlineLvl w:val="3"/>
      </w:pPr>
      <w:r>
        <w:rPr>
          <w:sz w:val="24"/>
          <w:b/>
        </w:rPr>
        <w:t>2.合同的履行</w:t>
      </w:r>
    </w:p>
    <w:p>
      <w:pPr>
        <w:pStyle w:val="null3"/>
        <w:ind w:firstLine="480"/>
      </w:pPr>
      <w:r>
        <w:rPr/>
        <w:t xml:space="preserve"> 2.1政府采购合同订立后，合同各方不得擅自变更、中止或者终止合同。</w:t>
      </w:r>
    </w:p>
    <w:p>
      <w:pPr>
        <w:pStyle w:val="null3"/>
        <w:ind w:firstLine="480"/>
      </w:pPr>
      <w:r>
        <w:rPr/>
        <w:t xml:space="preserve"> 2.2政府采购合同履行中，采购人需追加与合同标的相同的货物、工程或者服务的，在不改变合同其他条款的前提下，可以与成交供应商签订补充合同，但所补充合同的采购金额不得超过原采购金额的10%。依法签订的补充合同，也应在补充合同签订之日起2个工作日内登录广东省政府采购网上传备案。</w:t>
      </w:r>
    </w:p>
    <w:p>
      <w:pPr>
        <w:pStyle w:val="null3"/>
      </w:pPr>
      <w:r>
        <w:rPr/>
        <w:t xml:space="preserve">  </w:t>
      </w:r>
    </w:p>
    <w:p>
      <w:pPr>
        <w:pStyle w:val="null3"/>
        <w:jc w:val="center"/>
        <w:outlineLvl w:val="1"/>
      </w:pPr>
      <w:r>
        <w:rPr>
          <w:sz w:val="36"/>
          <w:b/>
        </w:rPr>
        <w:t>第四章 评审</w:t>
      </w:r>
    </w:p>
    <w:p>
      <w:pPr>
        <w:pStyle w:val="null3"/>
        <w:outlineLvl w:val="2"/>
      </w:pPr>
      <w:r>
        <w:rPr>
          <w:sz w:val="28"/>
          <w:b/>
        </w:rPr>
        <w:t>一、评审要求</w:t>
      </w:r>
    </w:p>
    <w:p>
      <w:pPr>
        <w:pStyle w:val="null3"/>
        <w:outlineLvl w:val="3"/>
      </w:pPr>
      <w:r>
        <w:rPr>
          <w:sz w:val="24"/>
          <w:b/>
        </w:rPr>
        <w:t>1.评审方法</w:t>
      </w:r>
    </w:p>
    <w:p>
      <w:pPr>
        <w:pStyle w:val="null3"/>
      </w:pPr>
      <w:r>
        <w:rPr/>
        <w:t>采购包1(民众街道民众分局视频监控运维升级改造项目)：综合评分法,是指响应文件满足磋商文件全部实质性要求，且按照评审因素的量化指标评审得分最高的投标人为成交候选人的评标方法。（最低报价不是成交的唯一依据。）</w:t>
      </w:r>
    </w:p>
    <w:p>
      <w:pPr>
        <w:pStyle w:val="null3"/>
        <w:outlineLvl w:val="3"/>
      </w:pPr>
      <w:r>
        <w:rPr>
          <w:sz w:val="24"/>
          <w:b/>
        </w:rPr>
        <w:t>2.评审原则</w:t>
      </w:r>
    </w:p>
    <w:p>
      <w:pPr>
        <w:pStyle w:val="null3"/>
        <w:ind w:firstLine="480"/>
      </w:pPr>
      <w:r>
        <w:rPr/>
        <w:t>2.1评审活动遵循公平、公正、科学和择优的原则，以磋商文件和响应文件为评审的基本依据，并按照磋商文件规定的评审方法和评审标准进行评审。</w:t>
      </w:r>
    </w:p>
    <w:p>
      <w:pPr>
        <w:pStyle w:val="null3"/>
        <w:ind w:firstLine="480"/>
      </w:pPr>
      <w:r>
        <w:rPr/>
        <w:t xml:space="preserve"> 2.2具体评审事项由磋商小组负责，并按磋商文件的规定办法进行评审。对磋商文件中描述有歧义或前后不一致的地方，磋商小组有权按法律法规的规定进行评判，但对同一条款的评判应适用于每个响应供应商。</w:t>
      </w:r>
    </w:p>
    <w:p>
      <w:pPr>
        <w:pStyle w:val="null3"/>
        <w:outlineLvl w:val="3"/>
      </w:pPr>
      <w:r>
        <w:rPr>
          <w:sz w:val="24"/>
          <w:b/>
        </w:rPr>
        <w:t>3.磋商小组</w:t>
      </w:r>
    </w:p>
    <w:p>
      <w:pPr>
        <w:pStyle w:val="null3"/>
        <w:ind w:firstLine="480"/>
      </w:pPr>
      <w:r>
        <w:rPr/>
        <w:t>3.1磋商小组由采购人代表和评审专家组成，成员人数应当为3人及以上单数，其中技术、经济等方面的评审专家不得少于成员总数的三分之二。</w:t>
      </w:r>
    </w:p>
    <w:p>
      <w:pPr>
        <w:pStyle w:val="null3"/>
        <w:ind w:firstLine="480"/>
      </w:pPr>
      <w:r>
        <w:rPr/>
        <w:t>3.2评审应遵守下列评审纪律：</w:t>
      </w:r>
    </w:p>
    <w:p>
      <w:pPr>
        <w:pStyle w:val="null3"/>
        <w:ind w:firstLine="480"/>
      </w:pPr>
      <w:r>
        <w:rPr/>
        <w:t>（1）评审情况不得私自外泄，有关信息由</w:t>
      </w:r>
      <w:r>
        <w:rPr/>
        <w:t>广东省建东工程监理有限公司中山分公司</w:t>
      </w:r>
      <w:r>
        <w:rPr/>
        <w:t>统一对外发布。</w:t>
      </w:r>
    </w:p>
    <w:p>
      <w:pPr>
        <w:pStyle w:val="null3"/>
        <w:ind w:firstLine="480"/>
      </w:pPr>
      <w:r>
        <w:rPr/>
        <w:t>（2）对</w:t>
      </w:r>
      <w:r>
        <w:rPr/>
        <w:t>广东省建东工程监理有限公司中山分公司</w:t>
      </w:r>
      <w:r>
        <w:rPr/>
        <w:t>或供应商提供的要求保密的资料，不得摘记翻印和外传。</w:t>
      </w:r>
    </w:p>
    <w:p>
      <w:pPr>
        <w:pStyle w:val="null3"/>
        <w:ind w:firstLine="480"/>
      </w:pPr>
      <w:r>
        <w:rPr/>
        <w:t>（3）不得收受响应供应商或有关人员的任何礼物，不得串联鼓动其他人袒护某供应商。若与供应商存在利害关系，则应主动声明并回避。</w:t>
      </w:r>
    </w:p>
    <w:p>
      <w:pPr>
        <w:pStyle w:val="null3"/>
        <w:ind w:firstLine="480"/>
      </w:pPr>
      <w:r>
        <w:rPr/>
        <w:t>（4）全体评委应按照磋商文件规定进行评审，一切认定事项应查有实据且不得弄虚作假。</w:t>
      </w:r>
    </w:p>
    <w:p>
      <w:pPr>
        <w:pStyle w:val="null3"/>
        <w:ind w:firstLine="480"/>
      </w:pPr>
      <w:r>
        <w:rPr/>
        <w:t>（5）磋商小组各成员应当独立对每个响应供应商的响应文件进行评价，并对评价意见承担个人责任。评审过程中，不得发表倾向性言论。</w:t>
      </w:r>
    </w:p>
    <w:p>
      <w:pPr>
        <w:pStyle w:val="null3"/>
        <w:ind w:firstLine="480"/>
      </w:pPr>
      <w:r>
        <w:rPr/>
        <w:t>※对违反评审纪律的评委，将取消其评委资格，对评审工作造成严重损失者将予以通报批评乃至追究法律责任。</w:t>
      </w:r>
    </w:p>
    <w:p>
      <w:pPr>
        <w:pStyle w:val="null3"/>
        <w:outlineLvl w:val="3"/>
      </w:pPr>
      <w:r>
        <w:rPr>
          <w:sz w:val="24"/>
          <w:b/>
        </w:rPr>
        <w:t>4.有下列情形之一的，视为供应商串通响应，其响应无效</w:t>
      </w:r>
    </w:p>
    <w:p>
      <w:pPr>
        <w:pStyle w:val="null3"/>
        <w:ind w:firstLine="480"/>
      </w:pPr>
      <w:r>
        <w:rPr/>
        <w:t>4.1不同供应商的响应文件由同一单位或者个人编制；</w:t>
      </w:r>
    </w:p>
    <w:p>
      <w:pPr>
        <w:pStyle w:val="null3"/>
        <w:ind w:firstLine="480"/>
      </w:pPr>
      <w:r>
        <w:rPr/>
        <w:t>4.2不同供应商委托同一单位或者个人办理响应事宜；</w:t>
      </w:r>
    </w:p>
    <w:p>
      <w:pPr>
        <w:pStyle w:val="null3"/>
        <w:ind w:firstLine="480"/>
      </w:pPr>
      <w:r>
        <w:rPr/>
        <w:t>4.3不同供应商的响应文件载明的项目管理成员或者联系人员为同一人；</w:t>
      </w:r>
    </w:p>
    <w:p>
      <w:pPr>
        <w:pStyle w:val="null3"/>
        <w:ind w:firstLine="480"/>
      </w:pPr>
      <w:r>
        <w:rPr/>
        <w:t>4.4不同供应商的响应文件异常一致或者响应报价呈规律性差异；</w:t>
      </w:r>
    </w:p>
    <w:p>
      <w:pPr>
        <w:pStyle w:val="null3"/>
        <w:ind w:firstLine="480"/>
      </w:pPr>
      <w:r>
        <w:rPr/>
        <w:t>4.5不同供应商的响应文件相互混装；</w:t>
      </w:r>
    </w:p>
    <w:p>
      <w:pPr>
        <w:pStyle w:val="null3"/>
        <w:ind w:firstLine="480"/>
      </w:pPr>
      <w:r>
        <w:rPr/>
        <w:t>4.6不同供应商的响应保证金或购买电子保函支付款为从同一单位或个人的账户转出。</w:t>
      </w:r>
    </w:p>
    <w:p>
      <w:pPr>
        <w:pStyle w:val="null3"/>
        <w:ind w:firstLine="480"/>
      </w:pPr>
      <w:r>
        <w:rPr/>
        <w:t>4.7供应商上传的电子响应文件加盖该项目的其他响应供应商的电子印章的。</w:t>
      </w:r>
    </w:p>
    <w:p>
      <w:pPr>
        <w:pStyle w:val="null3"/>
        <w:ind w:firstLine="480"/>
      </w:pPr>
      <w:r>
        <w:rPr/>
        <w:t xml:space="preserve"> 说明：在评审过程中发现供应商有上述情形的，磋商小组应当认定其响应无效。同时，项目评审时被认定为串通响应的供应商不得参加该合同项下的采购活动。</w:t>
      </w:r>
    </w:p>
    <w:p>
      <w:pPr>
        <w:pStyle w:val="null3"/>
        <w:outlineLvl w:val="3"/>
      </w:pPr>
      <w:r>
        <w:rPr>
          <w:sz w:val="24"/>
          <w:b/>
        </w:rPr>
        <w:t>5.有下列情形之一的，属于恶意串通响应：</w:t>
      </w:r>
    </w:p>
    <w:p>
      <w:pPr>
        <w:pStyle w:val="null3"/>
        <w:ind w:firstLine="480"/>
      </w:pPr>
      <w:r>
        <w:rPr/>
        <w:t>（1）供应商直接或者间接从采购人或者采购代理机构处获得其他供应商的相关情况并修改其响应文件；</w:t>
      </w:r>
    </w:p>
    <w:p>
      <w:pPr>
        <w:pStyle w:val="null3"/>
        <w:ind w:firstLine="480"/>
      </w:pPr>
      <w:r>
        <w:rPr/>
        <w:t>（2）供应商按照采购人或者采购代理机构的授意撤换、修改响应文件；</w:t>
      </w:r>
    </w:p>
    <w:p>
      <w:pPr>
        <w:pStyle w:val="null3"/>
        <w:ind w:firstLine="480"/>
      </w:pPr>
      <w:r>
        <w:rPr/>
        <w:t>（3）供应商之间协商报价、技术方案等响应文件的实质性内容；</w:t>
      </w:r>
    </w:p>
    <w:p>
      <w:pPr>
        <w:pStyle w:val="null3"/>
        <w:ind w:firstLine="480"/>
      </w:pPr>
      <w:r>
        <w:rPr/>
        <w:t>（4）属于同一集团、协会、商会等组织成员的供应商按照该组织要求协同参加政府采购活动；</w:t>
      </w:r>
    </w:p>
    <w:p>
      <w:pPr>
        <w:pStyle w:val="null3"/>
        <w:ind w:firstLine="480"/>
      </w:pPr>
      <w:r>
        <w:rPr/>
        <w:t>（5）供应商之间事先约定由某一特定供应商成交；</w:t>
      </w:r>
    </w:p>
    <w:p>
      <w:pPr>
        <w:pStyle w:val="null3"/>
        <w:ind w:firstLine="480"/>
      </w:pPr>
      <w:r>
        <w:rPr/>
        <w:t>（6）供应商之间商定部分供应商放弃参加政府采购活动或者放弃成交；</w:t>
      </w:r>
    </w:p>
    <w:p>
      <w:pPr>
        <w:pStyle w:val="null3"/>
        <w:ind w:firstLine="480"/>
      </w:pPr>
      <w:r>
        <w:rPr/>
        <w:t>（7）供应商与采购人或者采购代理机构之间、供应商相互之间，为谋求特定供应商成交或者排斥其他供应商的其他串通行为。</w:t>
      </w:r>
    </w:p>
    <w:p>
      <w:pPr>
        <w:pStyle w:val="null3"/>
        <w:outlineLvl w:val="3"/>
      </w:pPr>
      <w:r>
        <w:rPr>
          <w:sz w:val="24"/>
          <w:b/>
        </w:rPr>
        <w:t>6.其他响应无效的情形</w:t>
      </w:r>
    </w:p>
    <w:p>
      <w:pPr>
        <w:pStyle w:val="null3"/>
        <w:ind w:firstLine="480"/>
      </w:pPr>
      <w:r>
        <w:rPr/>
        <w:t>详见资格性审查、符合性审查和磋商文件其他响应无效条款。</w:t>
      </w:r>
    </w:p>
    <w:p>
      <w:pPr>
        <w:pStyle w:val="null3"/>
        <w:outlineLvl w:val="3"/>
      </w:pPr>
      <w:r>
        <w:rPr>
          <w:sz w:val="24"/>
          <w:b/>
        </w:rPr>
        <w:t>7.终止竞争性磋商采购活动的情形</w:t>
      </w:r>
    </w:p>
    <w:p>
      <w:pPr>
        <w:pStyle w:val="null3"/>
        <w:ind w:firstLine="480"/>
      </w:pPr>
      <w:r>
        <w:rPr/>
        <w:t>出现下列情形之一的，采购人或者采购代理机构应当终止竞争性磋商采购活动，发布项目终止公告并说明原因，重新开展采购活动：</w:t>
      </w:r>
    </w:p>
    <w:p>
      <w:pPr>
        <w:pStyle w:val="null3"/>
        <w:ind w:firstLine="480"/>
      </w:pPr>
      <w:r>
        <w:rPr/>
        <w:t>（1）因情况变化，不再符合规定的竞争性磋商采购方式适用情形的；</w:t>
      </w:r>
    </w:p>
    <w:p>
      <w:pPr>
        <w:pStyle w:val="null3"/>
        <w:ind w:firstLine="480"/>
      </w:pPr>
      <w:r>
        <w:rPr/>
        <w:t>（2）出现影响采购公正的违法、违规行为的；</w:t>
      </w:r>
    </w:p>
    <w:p>
      <w:pPr>
        <w:pStyle w:val="null3"/>
        <w:ind w:firstLine="480"/>
      </w:pPr>
      <w:r>
        <w:rPr/>
        <w:t>（3）除《政府采购竞争性磋商采购方式暂行办法》第二十一条第三款，《财政部关于政府采购竞争性磋商采购方式管理暂行办法有关问题的补充通知》（财库〔2015〕124号）规定的情形外，在采购过程中符合要求的供应商或者报价未超过采购预算的供应商不足3家的；</w:t>
      </w:r>
    </w:p>
    <w:p>
      <w:pPr>
        <w:pStyle w:val="null3"/>
        <w:ind w:firstLine="480"/>
      </w:pPr>
      <w:r>
        <w:rPr/>
        <w:t>（4）法律、法规以及磋商文件规定其他情形。</w:t>
      </w:r>
    </w:p>
    <w:p>
      <w:pPr>
        <w:pStyle w:val="null3"/>
        <w:outlineLvl w:val="3"/>
      </w:pPr>
      <w:r>
        <w:rPr>
          <w:sz w:val="24"/>
          <w:b/>
        </w:rPr>
        <w:t>8.确定成交供应商</w:t>
      </w:r>
    </w:p>
    <w:p>
      <w:pPr>
        <w:pStyle w:val="null3"/>
        <w:ind w:firstLine="480"/>
      </w:pPr>
      <w:r>
        <w:rPr/>
        <w:t>磋商小组按照磋商文件确定的评审方法、步骤、标准，对响应文件进行评审。评审结束后，对供应商的评审名次进行排序，确定成交供应商或者推荐成交候选供应商。</w:t>
      </w:r>
    </w:p>
    <w:p>
      <w:pPr>
        <w:pStyle w:val="null3"/>
        <w:outlineLvl w:val="3"/>
      </w:pPr>
      <w:r>
        <w:rPr>
          <w:sz w:val="24"/>
          <w:b/>
        </w:rPr>
        <w:t>9.价格修正</w:t>
      </w:r>
    </w:p>
    <w:p>
      <w:pPr>
        <w:pStyle w:val="null3"/>
        <w:ind w:firstLine="480"/>
      </w:pPr>
      <w:r>
        <w:rPr/>
        <w:t>对报价的计算错误按以下原则修正：</w:t>
      </w:r>
    </w:p>
    <w:p>
      <w:pPr>
        <w:pStyle w:val="null3"/>
        <w:ind w:firstLine="480"/>
      </w:pPr>
      <w:r>
        <w:rPr/>
        <w:t>（1）响应文件中首轮报价表（报价表）内容与响应文件中相应内容不一致的，以首轮报价表（报价表）为准；</w:t>
      </w:r>
    </w:p>
    <w:p>
      <w:pPr>
        <w:pStyle w:val="null3"/>
        <w:ind w:firstLine="480"/>
      </w:pPr>
      <w:r>
        <w:rPr/>
        <w:t>（2）大写金额和小写金额不一致的，以大写金额为准；</w:t>
      </w:r>
    </w:p>
    <w:p>
      <w:pPr>
        <w:pStyle w:val="null3"/>
        <w:ind w:firstLine="480"/>
      </w:pPr>
      <w:r>
        <w:rPr/>
        <w:t>（3）单价金额小数点或者百分比有明显错位的，以首轮报价表的总价为准，并修改单价；</w:t>
      </w:r>
    </w:p>
    <w:p>
      <w:pPr>
        <w:pStyle w:val="null3"/>
        <w:ind w:firstLine="480"/>
      </w:pPr>
      <w:r>
        <w:rPr/>
        <w:t>（4）总价金额与按单价汇总金额不一致的，以单价金额计算结果为准。但是单价金额计算结果超过预算价的，对其按无效响应处理；</w:t>
      </w:r>
    </w:p>
    <w:p>
      <w:pPr>
        <w:pStyle w:val="null3"/>
        <w:ind w:firstLine="480"/>
      </w:pPr>
      <w:r>
        <w:rPr/>
        <w:t>（5）若投标客户端上传的电子报价数据与电子响应文件价格不一致的，以电子报价数据为准。</w:t>
      </w:r>
    </w:p>
    <w:p>
      <w:pPr>
        <w:pStyle w:val="null3"/>
        <w:ind w:firstLine="480"/>
      </w:pPr>
      <w:r>
        <w:rPr/>
        <w:t xml:space="preserve"> 注：同时出现两种以上不一致的，按照前款规定的顺序在系统上进行价格澄清。供应商澄清后的价格加盖电子印章确认后产生约束力，但不得超出响应文件的范围或者改变响应文件的实质性内容，供应商不确认的，其响应无效。</w:t>
      </w:r>
    </w:p>
    <w:p>
      <w:pPr>
        <w:pStyle w:val="null3"/>
        <w:outlineLvl w:val="2"/>
      </w:pPr>
      <w:r>
        <w:rPr>
          <w:sz w:val="28"/>
          <w:b/>
        </w:rPr>
        <w:t>二.政府采购政策落实</w:t>
      </w:r>
    </w:p>
    <w:p>
      <w:pPr>
        <w:pStyle w:val="null3"/>
        <w:outlineLvl w:val="3"/>
      </w:pPr>
      <w:r>
        <w:rPr>
          <w:sz w:val="24"/>
          <w:b/>
        </w:rPr>
        <w:t>1.节能、环保要求</w:t>
      </w:r>
    </w:p>
    <w:p>
      <w:pPr>
        <w:pStyle w:val="null3"/>
        <w:ind w:firstLine="480"/>
      </w:pPr>
      <w:r>
        <w:rPr/>
        <w:t xml:space="preserve"> 采购的产品属于品目清单范围的，将依据国家确定的认证机构出具的、处于有效期之内的节能产品、环境标志产品认证证书，对获得证书的产品实施政府优先采购或强制采购，具体按照本磋商文件相关要求执行。</w:t>
      </w:r>
    </w:p>
    <w:p>
      <w:pPr>
        <w:pStyle w:val="null3"/>
        <w:ind w:firstLine="480"/>
      </w:pPr>
      <w:r>
        <w:rPr/>
        <w:t>相关认证机构和获证产品信息以市场监管总局组织建立的节能产品、环境标志产品认证结果信息发布平台公布为准。</w:t>
      </w:r>
    </w:p>
    <w:p>
      <w:pPr>
        <w:pStyle w:val="null3"/>
        <w:outlineLvl w:val="3"/>
      </w:pPr>
      <w:r>
        <w:rPr>
          <w:sz w:val="24"/>
          <w:b/>
        </w:rPr>
        <w:t>2.对符合本国产品标准的产品给予价格扣除</w:t>
      </w:r>
    </w:p>
    <w:p>
      <w:pPr>
        <w:pStyle w:val="null3"/>
        <w:ind w:firstLine="480"/>
      </w:pPr>
      <w:r>
        <w:rPr/>
        <w:t>依照《国务院办公厅关于在政府采购中实施本国产品标准及相关政策的通知》（国办发〔2025〕34号）及《财政部关于贯彻落实&lt;国务院办公厅关于在政府采购中实施本国产品标准及相关政策的通知&gt;的意见》（财库〔2025〕30号）等相关规定。</w:t>
      </w:r>
    </w:p>
    <w:p>
      <w:pPr>
        <w:pStyle w:val="null3"/>
        <w:spacing w:before="120" w:after="120"/>
        <w:ind w:firstLine="480"/>
      </w:pPr>
      <w:r>
        <w:rPr/>
        <w:t>（1）</w:t>
      </w:r>
      <w:r>
        <w:rPr>
          <w:b/>
        </w:rPr>
        <w:t>本国产品标准的适用范围</w:t>
      </w:r>
      <w:r>
        <w:rPr/>
        <w:t>。本国产品标准适用于货物，包括政府采购货物项目和服务项目中涉及的货物。适用本国产品标准的货物具体是指《政府采购品目分类目录》中的货物类产品，但不包括其中的房屋和构筑物，文物和陈列品，图书和档案，特种动植物，农林牧渔业产品，矿与矿物，电力、城市燃气、蒸汽和热水、水，食品、饮料和烟草原料，无形资产。</w:t>
      </w:r>
    </w:p>
    <w:p>
      <w:pPr>
        <w:pStyle w:val="null3"/>
        <w:spacing w:before="120" w:after="120"/>
        <w:ind w:firstLine="480"/>
      </w:pPr>
      <w:r>
        <w:rPr/>
        <w:t>（2）</w:t>
      </w:r>
      <w:r>
        <w:rPr>
          <w:b/>
        </w:rPr>
        <w:t>准确界定产品在中国境内生产</w:t>
      </w:r>
      <w:r>
        <w:rPr/>
        <w:t>。本国产品应当在中国境内生产，即在中华人民共和国关境内实现从原材料、组件到产品的属性改变。从具体情形看，在国内保税区、综合保税区等海关特殊监管区域生产的产品，属于在中国境内生产的产品；对医疗器械产品，取得药品监督管理部门授予的准字号医疗器械注册证的，属于在中国境内生产的产品；其他产品，根据实际情况判断是否在中国境内生产。</w:t>
      </w:r>
    </w:p>
    <w:p>
      <w:pPr>
        <w:pStyle w:val="null3"/>
        <w:spacing w:before="120" w:after="120"/>
        <w:ind w:firstLine="480"/>
      </w:pPr>
      <w:r>
        <w:rPr/>
        <w:t>（3）</w:t>
      </w:r>
      <w:r>
        <w:rPr>
          <w:b/>
        </w:rPr>
        <w:t>对本国产品的支持政策</w:t>
      </w:r>
      <w:r>
        <w:rPr/>
        <w:t>。政府采购活动中既有本国产品又有非本国产品参与竞争的，依法对本国产品给予价格评审优惠，对本国产品的报价给予20%的价格扣除，用扣除后的价格参与评审。</w:t>
      </w:r>
    </w:p>
    <w:p>
      <w:pPr>
        <w:pStyle w:val="null3"/>
        <w:spacing w:before="120" w:after="120"/>
        <w:ind w:firstLine="480"/>
      </w:pPr>
      <w:r>
        <w:rPr/>
        <w:t>当采购项目或者采购包中含有多种产品，供应商为该采购项目或者采购包提供的符合本国产品标准的产品成本之和占该供应商提供的全部产品成本之和的比例达到80%以上时，依法对该供应商提供的全部产品给予价格评审优惠，即对该供应商提供的全部产品的总报价给予20%的价格扣除，用扣除后的价格参与评审。</w:t>
      </w:r>
    </w:p>
    <w:p>
      <w:pPr>
        <w:pStyle w:val="null3"/>
        <w:spacing w:before="120" w:after="120"/>
        <w:ind w:firstLine="480"/>
      </w:pPr>
      <w:r>
        <w:rPr/>
        <w:t>（4）</w:t>
      </w:r>
      <w:r>
        <w:rPr>
          <w:b/>
        </w:rPr>
        <w:t>认真审查有关证明文件</w:t>
      </w:r>
      <w:r>
        <w:rPr/>
        <w:t>。采购人应当在采购文件中明确对供应商所出具的《关于符合本国产品标准的声明函》（以下简称《声明函》）的完整性、准确性进行审查的要求，评审中发现《声明函》内容含义不明确、同类事项与投标（响应）文件表述不一致或者有明显文字错误等情况的，应当以书面形式要求供应商作出必要的澄清、说明或者补正。经澄清、说明或者补正的《声明函》仍然不符合《通知》规定要求的，供应商提供的相关产品视为不符合本国产品标准。</w:t>
      </w:r>
    </w:p>
    <w:p>
      <w:pPr>
        <w:pStyle w:val="null3"/>
        <w:outlineLvl w:val="3"/>
      </w:pPr>
      <w:r>
        <w:rPr>
          <w:sz w:val="24"/>
          <w:b/>
        </w:rPr>
        <w:t>3.对小型、微型企业、监狱企业或残疾人福利性单位给予价格扣除</w:t>
      </w:r>
    </w:p>
    <w:p>
      <w:pPr>
        <w:pStyle w:val="null3"/>
        <w:ind w:firstLine="480"/>
      </w:pPr>
      <w:r>
        <w:rPr/>
        <w:t>依照《政府采购促进中小企业发展管理办法》、《支持监狱企业发展有关问题的通知》和《财政部 民政部 中国残疾人联合会关于促进残疾人就业政府采购政策的通知》的规定，凡符合享受《政府采购促进中小企业发展管理办法》规定的中小企业扶持政策的单位，按照以下比例给予相应的价格扣除：（监狱企业、残疾人福利性单位视同为小、微企业）。</w:t>
      </w:r>
    </w:p>
    <w:p>
      <w:pPr>
        <w:pStyle w:val="null3"/>
        <w:outlineLvl w:val="3"/>
      </w:pPr>
      <w:r>
        <w:rPr>
          <w:sz w:val="24"/>
          <w:b/>
        </w:rPr>
        <w:t>4.价格扣除相关要求</w:t>
      </w:r>
    </w:p>
    <w:p>
      <w:pPr>
        <w:pStyle w:val="null3"/>
      </w:pPr>
      <w:r>
        <w:rPr/>
        <w:t>采购包1（民众街道民众分局视频监控运维升级改造项目）：</w:t>
      </w:r>
    </w:p>
    <w:tbl>
      <w:tblPr>
        <w:tblW w:w="0" w:type="auto"/>
        <w:tblBorders>
          <w:top w:val="single"/>
          <w:left w:val="single"/>
          <w:bottom w:val="single"/>
          <w:right w:val="single"/>
          <w:insideH w:val="single"/>
          <w:insideV w:val="single"/>
        </w:tblBorders>
      </w:tblPr>
      <w:tblGrid>
        <w:gridCol w:w="581"/>
        <w:gridCol w:w="2160"/>
        <w:gridCol w:w="2160"/>
        <w:gridCol w:w="1246"/>
        <w:gridCol w:w="2160"/>
      </w:tblGrid>
      <w:tr>
        <w:tc>
          <w:tcPr>
            <w:tcW w:type="dxa" w:w="581"/>
          </w:tcPr>
          <w:p>
            <w:pPr>
              <w:pStyle w:val="null3"/>
            </w:pPr>
            <w:r>
              <w:rPr/>
              <w:t>序号</w:t>
            </w:r>
          </w:p>
        </w:tc>
        <w:tc>
          <w:tcPr>
            <w:tcW w:type="dxa" w:w="2160"/>
          </w:tcPr>
          <w:p>
            <w:pPr>
              <w:pStyle w:val="null3"/>
            </w:pPr>
            <w:r>
              <w:rPr/>
              <w:t>情形</w:t>
            </w:r>
          </w:p>
        </w:tc>
        <w:tc>
          <w:tcPr>
            <w:tcW w:type="dxa" w:w="2160"/>
          </w:tcPr>
          <w:p>
            <w:pPr>
              <w:pStyle w:val="null3"/>
            </w:pPr>
            <w:r>
              <w:rPr/>
              <w:t>适用对象</w:t>
            </w:r>
          </w:p>
        </w:tc>
        <w:tc>
          <w:tcPr>
            <w:tcW w:type="dxa" w:w="1246"/>
          </w:tcPr>
          <w:p>
            <w:pPr>
              <w:pStyle w:val="null3"/>
            </w:pPr>
            <w:r>
              <w:rPr/>
              <w:t>价格扣除比例</w:t>
            </w:r>
          </w:p>
        </w:tc>
        <w:tc>
          <w:tcPr>
            <w:tcW w:type="dxa" w:w="2160"/>
          </w:tcPr>
          <w:p>
            <w:pPr>
              <w:pStyle w:val="null3"/>
            </w:pPr>
            <w:r>
              <w:rPr/>
              <w:t>计算公式</w:t>
            </w:r>
          </w:p>
        </w:tc>
      </w:tr>
      <w:tr>
        <w:tc>
          <w:tcPr>
            <w:tcW w:type="dxa" w:w="581"/>
          </w:tcPr>
          <w:p>
            <w:pPr>
              <w:pStyle w:val="null3"/>
            </w:pPr>
            <w:r>
              <w:rPr/>
              <w:t>1</w:t>
            </w:r>
          </w:p>
        </w:tc>
        <w:tc>
          <w:tcPr>
            <w:tcW w:type="dxa" w:w="2160"/>
          </w:tcPr>
          <w:p>
            <w:pPr>
              <w:pStyle w:val="null3"/>
              <w:jc w:val="left"/>
            </w:pPr>
            <w:r>
              <w:rPr/>
              <w:t>小型、微型企业，监狱企业，残疾人福利性单位</w:t>
            </w:r>
          </w:p>
        </w:tc>
        <w:tc>
          <w:tcPr>
            <w:tcW w:type="dxa" w:w="2160"/>
          </w:tcPr>
          <w:p>
            <w:pPr>
              <w:pStyle w:val="null3"/>
            </w:pPr>
            <w:r>
              <w:rPr/>
              <w:t>货物由小微企业制造</w:t>
            </w:r>
          </w:p>
        </w:tc>
        <w:tc>
          <w:tcPr>
            <w:tcW w:type="dxa" w:w="1246"/>
          </w:tcPr>
          <w:p>
            <w:pPr>
              <w:pStyle w:val="null3"/>
            </w:pPr>
            <w:r>
              <w:rPr/>
              <w:t>10%</w:t>
            </w:r>
          </w:p>
        </w:tc>
        <w:tc>
          <w:tcPr>
            <w:tcW w:type="dxa" w:w="2160"/>
          </w:tcPr>
          <w:p>
            <w:pPr>
              <w:pStyle w:val="null3"/>
              <w:jc w:val="left"/>
            </w:pPr>
            <w:r>
              <w:rPr/>
              <w:t>货物由小微企业制造，即货物由小微企业生产且使用该小微企业商号或者注册商标时，给予价格扣除C1，即：评标价=最后报价×（1-C1）;监狱企业与残疾人福利性单位视同小型、微型企业，享受同等价格扣除，当企业属性重复时，不重复价格扣除。</w:t>
            </w:r>
          </w:p>
        </w:tc>
      </w:tr>
      <w:tr>
        <w:tc>
          <w:tcPr>
            <w:tcW w:type="dxa" w:w="8307"/>
            <w:gridSpan w:val="5"/>
          </w:tcPr>
          <w:p>
            <w:pPr>
              <w:pStyle w:val="null3"/>
              <w:jc w:val="left"/>
            </w:pPr>
            <w:r>
              <w:rPr/>
              <w:t>注：（1）上述评标价仅用于计算价格分，成交金额以实际投标价为准。 （2）组成联合体的大中型企业和其他自然人、法人或者其他组织、与小型、微型企业之间不得存在投资关系。</w:t>
            </w:r>
          </w:p>
        </w:tc>
      </w:tr>
    </w:tbl>
    <w:p>
      <w:pPr>
        <w:pStyle w:val="null3"/>
      </w:pPr>
      <w:r>
        <w:br/>
      </w:r>
    </w:p>
    <w:p>
      <w:pPr>
        <w:pStyle w:val="null3"/>
        <w:ind w:firstLine="480"/>
      </w:pPr>
      <w:r>
        <w:rPr/>
        <w:t>（1）所称小型和微型企业应当符合以下条件：</w:t>
      </w:r>
    </w:p>
    <w:p>
      <w:pPr>
        <w:pStyle w:val="null3"/>
        <w:ind w:firstLine="480"/>
      </w:pPr>
      <w:r>
        <w:rPr/>
        <w:t xml:space="preserve"> 在中华人民共和国境内依法设立，依据国务院批准的中小企业划分标准确定的小型企业和微型企业，但与大企业的负责人为同一人，或者与大企业存在直接控股、管理关系的除外。符合中小企业划分标准的个体工商户，在政府采购活动中视同中小企业。提供本企业制造的货物或者提供其他小型或微型企业制造的货物。</w:t>
      </w:r>
    </w:p>
    <w:p>
      <w:pPr>
        <w:pStyle w:val="null3"/>
        <w:ind w:firstLine="480"/>
      </w:pPr>
      <w:r>
        <w:rPr/>
        <w:t>符合中小企业划分标准的个体工商户，在政府采购活动中视同中小企业。</w:t>
      </w:r>
    </w:p>
    <w:p>
      <w:pPr>
        <w:pStyle w:val="null3"/>
        <w:ind w:firstLine="480"/>
      </w:pPr>
      <w:r>
        <w:rPr/>
        <w:t>提供本企业（属于小微企业）制造的货物或者提供其他小型或微型企业制造的货物/提供本企业（属于小微企业）承接的服务。</w:t>
      </w:r>
    </w:p>
    <w:p>
      <w:pPr>
        <w:pStyle w:val="null3"/>
        <w:ind w:firstLine="480"/>
      </w:pPr>
      <w:r>
        <w:rPr/>
        <w:t xml:space="preserve"> （2）符合中小企业扶持政策的供应商应填写《中小企业声明函》；监狱企业须供应商提供由监狱管理局、戒毒管理局（含新疆生产建设兵团）出具的属于监狱企业的证明文件；残疾人福利性单位应填写《残疾人福利性单位声明函》，否则不认定价格扣除。</w:t>
      </w:r>
    </w:p>
    <w:p>
      <w:pPr>
        <w:pStyle w:val="null3"/>
        <w:ind w:firstLine="480"/>
      </w:pPr>
      <w:r>
        <w:rPr/>
        <w:t>说明：供应商应当对其出具的《中小企业声明函》真实性负责，供应商出具的《中小企业声明函》内容不实的，属于提供虚假材料谋取成交。</w:t>
      </w:r>
    </w:p>
    <w:p>
      <w:pPr>
        <w:pStyle w:val="null3"/>
        <w:ind w:firstLine="480"/>
      </w:pPr>
      <w:r>
        <w:rPr/>
        <w:t xml:space="preserve"> （3）联合体各方均为小型、微型企业的，各方均应提供《中小企业声明函》；中小微企业作为联合体一方参与政府采购活动，且联合体协议书中约定，小型、微型企业的协议合同金额占到联合体协议合同总金额30%以上的，应附中小微企业的《中小企业声明函》。</w:t>
      </w:r>
    </w:p>
    <w:p>
      <w:pPr>
        <w:pStyle w:val="null3"/>
        <w:outlineLvl w:val="2"/>
      </w:pPr>
      <w:r>
        <w:rPr>
          <w:sz w:val="28"/>
          <w:b/>
        </w:rPr>
        <w:t>三、评审程序</w:t>
      </w:r>
    </w:p>
    <w:p>
      <w:pPr>
        <w:pStyle w:val="null3"/>
        <w:outlineLvl w:val="3"/>
      </w:pPr>
      <w:r>
        <w:rPr>
          <w:sz w:val="24"/>
          <w:b/>
        </w:rPr>
        <w:t>1.资格性审查和符合性审查</w:t>
      </w:r>
    </w:p>
    <w:p>
      <w:pPr>
        <w:pStyle w:val="null3"/>
        <w:ind w:firstLine="480"/>
      </w:pPr>
      <w:r>
        <w:rPr/>
        <w:t xml:space="preserve"> 磋商小组根据《资格性审查表》（附表一）和《符合性审查表》（附表二）的内容逐条对响应文件进行评审，审查每份响应文件的相关资格证明文件是否齐全有效。审查每份响应文件是否实质上响应了磋商文件的要求，只要不满足《资格性审查表》和《符合性审查表》所列各项要求之一的，将被认定为无效响应。对响应有效性认定意见不一致的，磋商小组按少数服从多数原则表决决定。</w:t>
      </w:r>
    </w:p>
    <w:p>
      <w:pPr>
        <w:pStyle w:val="null3"/>
        <w:ind w:firstLine="480"/>
      </w:pPr>
      <w:r>
        <w:rPr/>
        <w:t>磋商小组对各磋商供应商进行资格性和符合性审查过程中，对初步被认定为初审不合格或无效响应者应实行及时告知，由磋商小组组长或采购人代表将集体意见及时告知报价当事人。</w:t>
      </w:r>
    </w:p>
    <w:p>
      <w:pPr>
        <w:pStyle w:val="null3"/>
        <w:ind w:firstLine="480"/>
      </w:pPr>
      <w:r>
        <w:rPr/>
        <w:t>表一资格性审查表：</w:t>
      </w:r>
    </w:p>
    <w:p>
      <w:pPr>
        <w:pStyle w:val="null3"/>
      </w:pPr>
      <w:r>
        <w:rPr/>
        <w:t>采购包1（民众街道民众分局视频监控运维升级改造项目）：</w:t>
      </w:r>
    </w:p>
    <w:tbl>
      <w:tblPr>
        <w:tblW w:w="0" w:type="auto"/>
        <w:tblBorders>
          <w:top w:val="single"/>
          <w:left w:val="single"/>
          <w:bottom w:val="single"/>
          <w:right w:val="single"/>
          <w:insideH w:val="single"/>
          <w:insideV w:val="single"/>
        </w:tblBorders>
      </w:tblPr>
      <w:tblGrid>
        <w:gridCol w:w="890"/>
        <w:gridCol w:w="3178"/>
        <w:gridCol w:w="4238"/>
      </w:tblGrid>
      <w:tr>
        <w:tc>
          <w:tcPr>
            <w:tcW w:type="dxa" w:w="890"/>
          </w:tcPr>
          <w:p>
            <w:pPr>
              <w:pStyle w:val="null3"/>
            </w:pPr>
            <w:r>
              <w:rPr/>
              <w:t xml:space="preserve"> 序号</w:t>
            </w:r>
          </w:p>
        </w:tc>
        <w:tc>
          <w:tcPr>
            <w:tcW w:type="dxa" w:w="7416"/>
            <w:gridSpan w:val="2"/>
          </w:tcPr>
          <w:p>
            <w:pPr>
              <w:pStyle w:val="null3"/>
            </w:pPr>
            <w:r>
              <w:rPr/>
              <w:t xml:space="preserve"> 资格审查内容</w:t>
            </w:r>
          </w:p>
        </w:tc>
      </w:tr>
      <w:tr>
        <w:tc>
          <w:tcPr>
            <w:tcW w:type="dxa" w:w="890"/>
          </w:tcPr>
          <w:p>
            <w:pPr>
              <w:pStyle w:val="null3"/>
            </w:pPr>
            <w:r>
              <w:rPr/>
              <w:t>1</w:t>
            </w:r>
          </w:p>
        </w:tc>
        <w:tc>
          <w:tcPr>
            <w:tcW w:type="dxa" w:w="3178"/>
          </w:tcPr>
          <w:p>
            <w:pPr>
              <w:pStyle w:val="null3"/>
            </w:pPr>
            <w:r>
              <w:rPr/>
              <w:t>具有独立承担民事责任的能力</w:t>
            </w:r>
          </w:p>
        </w:tc>
        <w:tc>
          <w:tcPr>
            <w:tcW w:type="dxa" w:w="4238"/>
          </w:tcPr>
          <w:p>
            <w:pPr>
              <w:pStyle w:val="null3"/>
            </w:pPr>
            <w:r>
              <w:rPr/>
              <w:t>在中华人民共和国境内注册的法人或其他组织或自然人， 投标（响应）时提交有效的营业执照（或事业法人登记证或身份证等相关证明） 副本复印件。分支机构投标的，须提供总公司和分公司营业执照副本复印件，总公司出具给分支机构的授权书。</w:t>
            </w:r>
          </w:p>
        </w:tc>
      </w:tr>
      <w:tr>
        <w:tc>
          <w:tcPr>
            <w:tcW w:type="dxa" w:w="890"/>
          </w:tcPr>
          <w:p>
            <w:pPr>
              <w:pStyle w:val="null3"/>
            </w:pPr>
            <w:r>
              <w:rPr/>
              <w:t>2</w:t>
            </w:r>
          </w:p>
        </w:tc>
        <w:tc>
          <w:tcPr>
            <w:tcW w:type="dxa" w:w="3178"/>
          </w:tcPr>
          <w:p>
            <w:pPr>
              <w:pStyle w:val="null3"/>
            </w:pPr>
            <w:r>
              <w:rPr/>
              <w:t>有依法缴纳税收和社会保障资金的良好记录</w:t>
            </w:r>
          </w:p>
        </w:tc>
        <w:tc>
          <w:tcPr>
            <w:tcW w:type="dxa" w:w="4238"/>
          </w:tcPr>
          <w:p>
            <w:pPr>
              <w:pStyle w:val="null3"/>
            </w:pPr>
            <w:r>
              <w:rPr/>
              <w:t>供应商提供《政府采购供应商资格信用承诺函》（格式详见公告附件）或提供投标截止日前6个月内任意1个月依法缴纳税收和社会保障资金的相关材料。如依法免税或不需要缴纳社会保障资金的，提供相应证明材料。（若供应商同时提供承诺函和证明材料的，资格审查时以证明材料为准）</w:t>
            </w:r>
          </w:p>
        </w:tc>
      </w:tr>
      <w:tr>
        <w:tc>
          <w:tcPr>
            <w:tcW w:type="dxa" w:w="890"/>
          </w:tcPr>
          <w:p>
            <w:pPr>
              <w:pStyle w:val="null3"/>
            </w:pPr>
            <w:r>
              <w:rPr/>
              <w:t>3</w:t>
            </w:r>
          </w:p>
        </w:tc>
        <w:tc>
          <w:tcPr>
            <w:tcW w:type="dxa" w:w="3178"/>
          </w:tcPr>
          <w:p>
            <w:pPr>
              <w:pStyle w:val="null3"/>
            </w:pPr>
            <w:r>
              <w:rPr/>
              <w:t>具有良好的商业信誉和健全的财务会计制度</w:t>
            </w:r>
          </w:p>
        </w:tc>
        <w:tc>
          <w:tcPr>
            <w:tcW w:type="dxa" w:w="4238"/>
          </w:tcPr>
          <w:p>
            <w:pPr>
              <w:pStyle w:val="null3"/>
            </w:pPr>
            <w:r>
              <w:rPr/>
              <w:t>供应商提供《政府采购供应商资格信用承诺函》（格式详见公告附件）或提供2023年度财务状况报告或2024年以来任何一个月的财务报表或基本开户行出具的资信证明）。（若供应商同时提供承诺函和证明材料的，资格审查时以证明材料为准）</w:t>
            </w:r>
          </w:p>
        </w:tc>
      </w:tr>
      <w:tr>
        <w:tc>
          <w:tcPr>
            <w:tcW w:type="dxa" w:w="890"/>
          </w:tcPr>
          <w:p>
            <w:pPr>
              <w:pStyle w:val="null3"/>
            </w:pPr>
            <w:r>
              <w:rPr/>
              <w:t>4</w:t>
            </w:r>
          </w:p>
        </w:tc>
        <w:tc>
          <w:tcPr>
            <w:tcW w:type="dxa" w:w="3178"/>
          </w:tcPr>
          <w:p>
            <w:pPr>
              <w:pStyle w:val="null3"/>
            </w:pPr>
            <w:r>
              <w:rPr/>
              <w:t>履行合同所必需的设备和专业技术能力</w:t>
            </w:r>
          </w:p>
        </w:tc>
        <w:tc>
          <w:tcPr>
            <w:tcW w:type="dxa" w:w="4238"/>
          </w:tcPr>
          <w:p>
            <w:pPr>
              <w:pStyle w:val="null3"/>
            </w:pPr>
            <w:r>
              <w:rPr/>
              <w:t>提供承诺函（格式自拟，承诺内容包括但不限于：“我方具有履行本项目合同所必需的设备及专业技术能力。”）或提供《设备和专业技术能力情况表》（格式自拟）。</w:t>
            </w:r>
          </w:p>
        </w:tc>
      </w:tr>
      <w:tr>
        <w:tc>
          <w:tcPr>
            <w:tcW w:type="dxa" w:w="890"/>
          </w:tcPr>
          <w:p>
            <w:pPr>
              <w:pStyle w:val="null3"/>
            </w:pPr>
            <w:r>
              <w:rPr/>
              <w:t>5</w:t>
            </w:r>
          </w:p>
        </w:tc>
        <w:tc>
          <w:tcPr>
            <w:tcW w:type="dxa" w:w="3178"/>
          </w:tcPr>
          <w:p>
            <w:pPr>
              <w:pStyle w:val="null3"/>
            </w:pPr>
            <w:r>
              <w:rPr/>
              <w:t>参加采购活动前3年内，在经营活动中没有重大违法记录</w:t>
            </w:r>
          </w:p>
        </w:tc>
        <w:tc>
          <w:tcPr>
            <w:tcW w:type="dxa" w:w="4238"/>
          </w:tcPr>
          <w:p>
            <w:pPr>
              <w:pStyle w:val="null3"/>
            </w:pPr>
            <w:r>
              <w:rPr/>
              <w:t>供应商提供《政府采购供应商资格信用承诺函》（格式详见公告附件）或参照响应承诺函相关承诺格式内容。重大违法记录，是指供应商因违法经营受到刑事处罚或者责令停产停业、吊销许可证或者执照、较大数额罚款等行政处罚。（根据财库〔2022〕3号文，“较大数额罚款”认定为200万元以上的罚款，法律、行政法规以及国务院有关部门明确规定相关领域“较大数额罚款”标准高于200万元的，从其规定）。</w:t>
            </w:r>
          </w:p>
        </w:tc>
      </w:tr>
      <w:tr>
        <w:tc>
          <w:tcPr>
            <w:tcW w:type="dxa" w:w="890"/>
          </w:tcPr>
          <w:p>
            <w:pPr>
              <w:pStyle w:val="null3"/>
            </w:pPr>
            <w:r>
              <w:rPr/>
              <w:t>6</w:t>
            </w:r>
          </w:p>
        </w:tc>
        <w:tc>
          <w:tcPr>
            <w:tcW w:type="dxa" w:w="3178"/>
          </w:tcPr>
          <w:p>
            <w:pPr>
              <w:pStyle w:val="null3"/>
            </w:pPr>
            <w:r>
              <w:rPr/>
              <w:t>信用记录</w:t>
            </w:r>
          </w:p>
        </w:tc>
        <w:tc>
          <w:tcPr>
            <w:tcW w:type="dxa" w:w="4238"/>
          </w:tcPr>
          <w:p>
            <w:pPr>
              <w:pStyle w:val="null3"/>
            </w:pPr>
            <w:r>
              <w:rPr/>
              <w:t>供应商未被列入“信用中国”网站(www.creditchina.gov.cn)“记录失信被执行人或重大税收违法案件当事人名单”记录名单；不处于中国政府采购网(www.ccgp.gov.cn)“政府采购严重违法失信行为信息记录”中的禁止参加政府采购活动期间。（以采购代理机构于投标截止时间当天在“信用中国”网站（www.creditchina.gov.cn） 及中国政府采购网（http://www.ccgp.gov.cn/） 查询结果为准，如相关失信记录已失效，供应商需提供相关证明资料。</w:t>
            </w:r>
          </w:p>
        </w:tc>
      </w:tr>
      <w:tr>
        <w:tc>
          <w:tcPr>
            <w:tcW w:type="dxa" w:w="890"/>
          </w:tcPr>
          <w:p>
            <w:pPr>
              <w:pStyle w:val="null3"/>
            </w:pPr>
            <w:r>
              <w:rPr/>
              <w:t>7</w:t>
            </w:r>
          </w:p>
        </w:tc>
        <w:tc>
          <w:tcPr>
            <w:tcW w:type="dxa" w:w="3178"/>
          </w:tcPr>
          <w:p>
            <w:pPr>
              <w:pStyle w:val="null3"/>
            </w:pPr>
            <w:r>
              <w:rPr/>
              <w:t>供应商必须符合法律、行政法规规定的其他条件</w:t>
            </w:r>
          </w:p>
        </w:tc>
        <w:tc>
          <w:tcPr>
            <w:tcW w:type="dxa" w:w="4238"/>
          </w:tcPr>
          <w:p>
            <w:pPr>
              <w:pStyle w:val="null3"/>
            </w:pPr>
            <w:r>
              <w:rPr/>
              <w:t>单位负责人为同一人或者存在直接控股、 管理关系的不同供应商，不得同时参加本采购项目（或采购包） 投标（响应）。 为本项目提供整体设计、 规范编制或者项目管理、 监理、 检测等服务的供应商， 不得再参与本项目投标（响应）。 响应承诺函相关承诺要求内容。</w:t>
            </w:r>
          </w:p>
        </w:tc>
      </w:tr>
      <w:tr>
        <w:tc>
          <w:tcPr>
            <w:tcW w:type="dxa" w:w="890"/>
          </w:tcPr>
          <w:p>
            <w:pPr>
              <w:pStyle w:val="null3"/>
            </w:pPr>
            <w:r>
              <w:rPr/>
              <w:t>8</w:t>
            </w:r>
          </w:p>
        </w:tc>
        <w:tc>
          <w:tcPr>
            <w:tcW w:type="dxa" w:w="3178"/>
          </w:tcPr>
          <w:p>
            <w:pPr>
              <w:pStyle w:val="null3"/>
            </w:pPr>
            <w:r>
              <w:rPr/>
              <w:t>联合体</w:t>
            </w:r>
          </w:p>
        </w:tc>
        <w:tc>
          <w:tcPr>
            <w:tcW w:type="dxa" w:w="4238"/>
          </w:tcPr>
          <w:p>
            <w:pPr>
              <w:pStyle w:val="null3"/>
            </w:pPr>
            <w:r>
              <w:rPr/>
              <w:t>本项目不接受联合体响应。</w:t>
            </w:r>
          </w:p>
        </w:tc>
      </w:tr>
      <w:tr>
        <w:tc>
          <w:tcPr>
            <w:tcW w:type="dxa" w:w="890"/>
          </w:tcPr>
          <w:p>
            <w:pPr>
              <w:pStyle w:val="null3"/>
            </w:pPr>
            <w:r>
              <w:rPr/>
              <w:t>9</w:t>
            </w:r>
          </w:p>
        </w:tc>
        <w:tc>
          <w:tcPr>
            <w:tcW w:type="dxa" w:w="3178"/>
          </w:tcPr>
          <w:p>
            <w:pPr>
              <w:pStyle w:val="null3"/>
            </w:pPr>
            <w:r>
              <w:rPr/>
              <w:t>落实政府采购政策需满足的资格要求</w:t>
            </w:r>
          </w:p>
        </w:tc>
        <w:tc>
          <w:tcPr>
            <w:tcW w:type="dxa" w:w="4238"/>
          </w:tcPr>
          <w:p>
            <w:pPr>
              <w:pStyle w:val="null3"/>
            </w:pPr>
            <w:r>
              <w:rPr/>
              <w:t>本项目不属于专门面向中小企业采购的项目。</w:t>
            </w:r>
          </w:p>
        </w:tc>
      </w:tr>
    </w:tbl>
    <w:p>
      <w:pPr>
        <w:pStyle w:val="null3"/>
        <w:ind w:firstLine="480"/>
      </w:pPr>
      <w:r>
        <w:rPr/>
        <w:t>表二符合性审查表：</w:t>
      </w:r>
    </w:p>
    <w:p>
      <w:pPr>
        <w:pStyle w:val="null3"/>
      </w:pPr>
      <w:r>
        <w:rPr/>
        <w:t>采购包1（民众街道民众分局视频监控运维升级改造项目）：</w:t>
      </w:r>
    </w:p>
    <w:tbl>
      <w:tblPr>
        <w:tblW w:w="0" w:type="auto"/>
        <w:tblBorders>
          <w:top w:val="single"/>
          <w:left w:val="single"/>
          <w:bottom w:val="single"/>
          <w:right w:val="single"/>
          <w:insideH w:val="single"/>
          <w:insideV w:val="single"/>
        </w:tblBorders>
      </w:tblPr>
      <w:tblGrid>
        <w:gridCol w:w="890"/>
        <w:gridCol w:w="3178"/>
        <w:gridCol w:w="4238"/>
      </w:tblGrid>
      <w:tr>
        <w:tc>
          <w:tcPr>
            <w:tcW w:type="dxa" w:w="890"/>
          </w:tcPr>
          <w:p>
            <w:pPr>
              <w:pStyle w:val="null3"/>
            </w:pPr>
            <w:r>
              <w:rPr/>
              <w:t xml:space="preserve"> 序号</w:t>
            </w:r>
          </w:p>
        </w:tc>
        <w:tc>
          <w:tcPr>
            <w:tcW w:type="dxa" w:w="3178"/>
          </w:tcPr>
          <w:p>
            <w:pPr>
              <w:pStyle w:val="null3"/>
            </w:pPr>
            <w:r>
              <w:rPr/>
              <w:t xml:space="preserve"> 评审点要求概况</w:t>
            </w:r>
          </w:p>
        </w:tc>
        <w:tc>
          <w:tcPr>
            <w:tcW w:type="dxa" w:w="4238"/>
          </w:tcPr>
          <w:p>
            <w:pPr>
              <w:pStyle w:val="null3"/>
            </w:pPr>
            <w:r>
              <w:rPr/>
              <w:t xml:space="preserve"> 评审点具体描述</w:t>
            </w:r>
          </w:p>
        </w:tc>
      </w:tr>
      <w:tr>
        <w:tc>
          <w:tcPr>
            <w:tcW w:type="dxa" w:w="890"/>
          </w:tcPr>
          <w:p>
            <w:pPr>
              <w:pStyle w:val="null3"/>
            </w:pPr>
            <w:r>
              <w:rPr/>
              <w:t>1</w:t>
            </w:r>
          </w:p>
        </w:tc>
        <w:tc>
          <w:tcPr>
            <w:tcW w:type="dxa" w:w="3178"/>
          </w:tcPr>
          <w:p>
            <w:pPr>
              <w:pStyle w:val="null3"/>
            </w:pPr>
            <w:r>
              <w:rPr/>
              <w:t>响应有效期</w:t>
            </w:r>
          </w:p>
        </w:tc>
        <w:tc>
          <w:tcPr>
            <w:tcW w:type="dxa" w:w="4238"/>
          </w:tcPr>
          <w:p>
            <w:pPr>
              <w:pStyle w:val="null3"/>
            </w:pPr>
            <w:r>
              <w:rPr/>
              <w:t>提供《响应承诺函》，响应有效期为投标截止之日起90天。</w:t>
            </w:r>
          </w:p>
        </w:tc>
      </w:tr>
      <w:tr>
        <w:tc>
          <w:tcPr>
            <w:tcW w:type="dxa" w:w="890"/>
          </w:tcPr>
          <w:p>
            <w:pPr>
              <w:pStyle w:val="null3"/>
            </w:pPr>
            <w:r>
              <w:rPr/>
              <w:t>2</w:t>
            </w:r>
          </w:p>
        </w:tc>
        <w:tc>
          <w:tcPr>
            <w:tcW w:type="dxa" w:w="3178"/>
          </w:tcPr>
          <w:p>
            <w:pPr>
              <w:pStyle w:val="null3"/>
            </w:pPr>
            <w:r>
              <w:rPr/>
              <w:t>签署盖章</w:t>
            </w:r>
          </w:p>
        </w:tc>
        <w:tc>
          <w:tcPr>
            <w:tcW w:type="dxa" w:w="4238"/>
          </w:tcPr>
          <w:p>
            <w:pPr>
              <w:pStyle w:val="null3"/>
            </w:pPr>
            <w:r>
              <w:rPr/>
              <w:t>响应文件按照磋商文件规定签署、盖章。</w:t>
            </w:r>
          </w:p>
        </w:tc>
      </w:tr>
      <w:tr>
        <w:tc>
          <w:tcPr>
            <w:tcW w:type="dxa" w:w="890"/>
          </w:tcPr>
          <w:p>
            <w:pPr>
              <w:pStyle w:val="null3"/>
            </w:pPr>
            <w:r>
              <w:rPr/>
              <w:t>3</w:t>
            </w:r>
          </w:p>
        </w:tc>
        <w:tc>
          <w:tcPr>
            <w:tcW w:type="dxa" w:w="3178"/>
          </w:tcPr>
          <w:p>
            <w:pPr>
              <w:pStyle w:val="null3"/>
            </w:pPr>
            <w:r>
              <w:rPr/>
              <w:t>法定代表人及授权委托书</w:t>
            </w:r>
          </w:p>
        </w:tc>
        <w:tc>
          <w:tcPr>
            <w:tcW w:type="dxa" w:w="4238"/>
          </w:tcPr>
          <w:p>
            <w:pPr>
              <w:pStyle w:val="null3"/>
            </w:pPr>
            <w:r>
              <w:rPr/>
              <w:t>响应文件提供有效的法定代表人及法定代表人授权委托书。</w:t>
            </w:r>
          </w:p>
        </w:tc>
      </w:tr>
      <w:tr>
        <w:tc>
          <w:tcPr>
            <w:tcW w:type="dxa" w:w="890"/>
          </w:tcPr>
          <w:p>
            <w:pPr>
              <w:pStyle w:val="null3"/>
            </w:pPr>
            <w:r>
              <w:rPr/>
              <w:t>4</w:t>
            </w:r>
          </w:p>
        </w:tc>
        <w:tc>
          <w:tcPr>
            <w:tcW w:type="dxa" w:w="3178"/>
          </w:tcPr>
          <w:p>
            <w:pPr>
              <w:pStyle w:val="null3"/>
            </w:pPr>
            <w:r>
              <w:rPr/>
              <w:t>投标报价</w:t>
            </w:r>
          </w:p>
        </w:tc>
        <w:tc>
          <w:tcPr>
            <w:tcW w:type="dxa" w:w="4238"/>
          </w:tcPr>
          <w:p>
            <w:pPr>
              <w:pStyle w:val="null3"/>
            </w:pPr>
            <w:r>
              <w:rPr/>
              <w:t>投标（报价）总金额是固定价且是唯一的，未超过本项目最高限价。</w:t>
            </w:r>
          </w:p>
        </w:tc>
      </w:tr>
      <w:tr>
        <w:tc>
          <w:tcPr>
            <w:tcW w:type="dxa" w:w="890"/>
          </w:tcPr>
          <w:p>
            <w:pPr>
              <w:pStyle w:val="null3"/>
            </w:pPr>
            <w:r>
              <w:rPr/>
              <w:t>5</w:t>
            </w:r>
          </w:p>
        </w:tc>
        <w:tc>
          <w:tcPr>
            <w:tcW w:type="dxa" w:w="3178"/>
          </w:tcPr>
          <w:p>
            <w:pPr>
              <w:pStyle w:val="null3"/>
            </w:pPr>
            <w:r>
              <w:rPr/>
              <w:t>投标报价无重大漏项或重大不合理</w:t>
            </w:r>
          </w:p>
        </w:tc>
        <w:tc>
          <w:tcPr>
            <w:tcW w:type="dxa" w:w="4238"/>
          </w:tcPr>
          <w:p>
            <w:pPr>
              <w:pStyle w:val="null3"/>
            </w:pPr>
            <w:r>
              <w:rPr/>
              <w:t>投标报价无重大漏项或重大不合理。</w:t>
            </w:r>
          </w:p>
        </w:tc>
      </w:tr>
      <w:tr>
        <w:tc>
          <w:tcPr>
            <w:tcW w:type="dxa" w:w="890"/>
          </w:tcPr>
          <w:p>
            <w:pPr>
              <w:pStyle w:val="null3"/>
            </w:pPr>
            <w:r>
              <w:rPr/>
              <w:t>6</w:t>
            </w:r>
          </w:p>
        </w:tc>
        <w:tc>
          <w:tcPr>
            <w:tcW w:type="dxa" w:w="3178"/>
          </w:tcPr>
          <w:p>
            <w:pPr>
              <w:pStyle w:val="null3"/>
            </w:pPr>
            <w:r>
              <w:rPr/>
              <w:t>“★”号条款的响应</w:t>
            </w:r>
          </w:p>
        </w:tc>
        <w:tc>
          <w:tcPr>
            <w:tcW w:type="dxa" w:w="4238"/>
          </w:tcPr>
          <w:p>
            <w:pPr>
              <w:pStyle w:val="null3"/>
            </w:pPr>
            <w:r>
              <w:rPr/>
              <w:t>完全响应并满足竞争性磋商文件标注“★”号条款的要求</w:t>
            </w:r>
          </w:p>
        </w:tc>
      </w:tr>
      <w:tr>
        <w:tc>
          <w:tcPr>
            <w:tcW w:type="dxa" w:w="890"/>
          </w:tcPr>
          <w:p>
            <w:pPr>
              <w:pStyle w:val="null3"/>
            </w:pPr>
            <w:r>
              <w:rPr/>
              <w:t>7</w:t>
            </w:r>
          </w:p>
        </w:tc>
        <w:tc>
          <w:tcPr>
            <w:tcW w:type="dxa" w:w="3178"/>
          </w:tcPr>
          <w:p>
            <w:pPr>
              <w:pStyle w:val="null3"/>
            </w:pPr>
            <w:r>
              <w:rPr/>
              <w:t>无磋商文件或法律、法规、规章规定属于无效投标的其他情形</w:t>
            </w:r>
          </w:p>
        </w:tc>
        <w:tc>
          <w:tcPr>
            <w:tcW w:type="dxa" w:w="4238"/>
          </w:tcPr>
          <w:p>
            <w:pPr>
              <w:pStyle w:val="null3"/>
            </w:pPr>
            <w:r>
              <w:rPr/>
              <w:t>无磋商文件或法律、法规、规章规定属于无效投标的其他情形。</w:t>
            </w:r>
          </w:p>
        </w:tc>
      </w:tr>
    </w:tbl>
    <w:p>
      <w:pPr>
        <w:pStyle w:val="null3"/>
        <w:outlineLvl w:val="3"/>
      </w:pPr>
      <w:r>
        <w:rPr>
          <w:sz w:val="24"/>
          <w:b/>
        </w:rPr>
        <w:t>2.响应文件澄清</w:t>
      </w:r>
    </w:p>
    <w:p>
      <w:pPr>
        <w:pStyle w:val="null3"/>
        <w:ind w:firstLine="480"/>
      </w:pPr>
      <w:r>
        <w:rPr/>
        <w:t xml:space="preserve"> 2.1对于响应文件中含义不明确、同类问题表述不一致或者有明显文字和计算错误的内容，磋商小组应当在评审过程中发起在线澄清，要求供应商针对价格或内容做出必要的澄清、说明或补正。代理机构可根据开启环节记录的</w:t>
      </w:r>
      <w:r>
        <w:rPr>
          <w:b/>
        </w:rPr>
        <w:t>授权代表人联系方式</w:t>
      </w:r>
      <w:r>
        <w:rPr/>
        <w:t>发送短信提醒或电话告知。</w:t>
      </w:r>
    </w:p>
    <w:p>
      <w:pPr>
        <w:pStyle w:val="null3"/>
        <w:ind w:firstLine="480"/>
      </w:pPr>
      <w:r>
        <w:rPr/>
        <w:t>供应商需登录广东政府采购智慧云平台项目采购系统的等候大厅，在规定时间内完成澄清（响应），并加盖电子印章。</w:t>
      </w:r>
    </w:p>
    <w:p>
      <w:pPr>
        <w:pStyle w:val="null3"/>
        <w:ind w:firstLine="480"/>
      </w:pPr>
      <w:r>
        <w:rPr/>
        <w:t>若因供应商联系方式错误未接收短信、未接听电话或超时未进行澄清（响应）造成的不利后果由供应商自行承担。供应商的澄清、说明或者补正不得超出响应文件的范围或者改变响应文件的实质性内容。</w:t>
      </w:r>
    </w:p>
    <w:p>
      <w:pPr>
        <w:pStyle w:val="null3"/>
        <w:ind w:firstLine="480"/>
      </w:pPr>
      <w:r>
        <w:rPr/>
        <w:t>2.2磋商小组不接受供应商主动提出的澄清、说明或补正。</w:t>
      </w:r>
    </w:p>
    <w:p>
      <w:pPr>
        <w:pStyle w:val="null3"/>
        <w:ind w:firstLine="480"/>
      </w:pPr>
      <w:r>
        <w:rPr/>
        <w:t>2.3磋商小组对供应商提交的澄清、说明或补正有疑问的，可以要求供应商进一步澄清、说明或补正。</w:t>
      </w:r>
    </w:p>
    <w:p>
      <w:pPr>
        <w:pStyle w:val="null3"/>
        <w:outlineLvl w:val="3"/>
      </w:pPr>
      <w:r>
        <w:rPr>
          <w:sz w:val="24"/>
          <w:b/>
        </w:rPr>
        <w:t>3.磋商</w:t>
      </w:r>
    </w:p>
    <w:p>
      <w:pPr>
        <w:pStyle w:val="null3"/>
        <w:ind w:firstLine="480"/>
      </w:pPr>
      <w:r>
        <w:rPr/>
        <w:t>3.1磋商小组所有成员应当集中与单一供应商分别进行磋商，并给予所有参加磋商的供应商平等的磋商机会。</w:t>
      </w:r>
    </w:p>
    <w:p>
      <w:pPr>
        <w:pStyle w:val="null3"/>
        <w:ind w:firstLine="480"/>
      </w:pPr>
      <w:r>
        <w:rPr/>
        <w:t>3.2在磋商过程中，磋商小组可以根据磋商文件和磋商情况实质性变动采购需求中的技术、服务要求以及合同草案条款，但不得变动磋商文件中的其他内容。实质性变动的内容，须经采购人代表确认。</w:t>
      </w:r>
    </w:p>
    <w:p>
      <w:pPr>
        <w:pStyle w:val="null3"/>
        <w:ind w:firstLine="480"/>
      </w:pPr>
      <w:r>
        <w:rPr/>
        <w:t>3.3对磋商文件作出的实质性变动是磋商文件的有效组成部分，磋商小组应当及时、同时通知所有参加磋商的供应商。</w:t>
      </w:r>
    </w:p>
    <w:p>
      <w:pPr>
        <w:pStyle w:val="null3"/>
        <w:ind w:firstLine="480"/>
      </w:pPr>
      <w:r>
        <w:rPr/>
        <w:t xml:space="preserve"> 3.4供应商应当按照磋商文件的变动情况和磋商小组的要求进行最终报价或重新提交响应文件，并由其法定代表人或授权代表签字或者加盖公章。由授权代表签字的，应当附法定代表人授权书。供应商为自然人的，应当由本人签字并附身份证明。</w:t>
      </w:r>
    </w:p>
    <w:p>
      <w:pPr>
        <w:pStyle w:val="null3"/>
        <w:outlineLvl w:val="3"/>
      </w:pPr>
      <w:r>
        <w:rPr>
          <w:sz w:val="24"/>
          <w:b/>
        </w:rPr>
        <w:t>4.最后报价</w:t>
      </w:r>
    </w:p>
    <w:p>
      <w:pPr>
        <w:pStyle w:val="null3"/>
        <w:ind w:firstLine="480"/>
      </w:pPr>
      <w:r>
        <w:rPr/>
        <w:t>4.1磋商结束后，磋商小组应当要求所有实质性响应的供应商在规定时间内提交最后报价。最后报价是供应商响应文件的有效组成部分。</w:t>
      </w:r>
    </w:p>
    <w:p>
      <w:pPr>
        <w:pStyle w:val="null3"/>
        <w:ind w:firstLine="480"/>
      </w:pPr>
      <w:r>
        <w:rPr/>
        <w:t>4.2已提交响应文件的供应商，在提交最后报价之前，可以根据磋商情况退出磋商。</w:t>
      </w:r>
    </w:p>
    <w:p>
      <w:pPr>
        <w:pStyle w:val="null3"/>
        <w:ind w:firstLine="480"/>
      </w:pPr>
      <w:r>
        <w:rPr/>
        <w:t>4.3除法规规定的特殊性情形外，提交最后报价的供应商不得少于3家。</w:t>
      </w:r>
    </w:p>
    <w:p>
      <w:pPr>
        <w:pStyle w:val="null3"/>
        <w:outlineLvl w:val="3"/>
      </w:pPr>
      <w:r>
        <w:rPr>
          <w:sz w:val="24"/>
          <w:b/>
        </w:rPr>
        <w:t>5.详细评审</w:t>
      </w:r>
    </w:p>
    <w:p>
      <w:pPr>
        <w:pStyle w:val="null3"/>
      </w:pPr>
      <w:r>
        <w:rPr/>
        <w:t>采购包1(民众街道民众分局视频监控运维升级改造项目):</w:t>
      </w:r>
    </w:p>
    <w:tbl>
      <w:tblPr>
        <w:tblW w:w="0" w:type="auto"/>
        <w:tblBorders>
          <w:top w:val="single"/>
          <w:left w:val="single"/>
          <w:bottom w:val="single"/>
          <w:right w:val="single"/>
          <w:insideH w:val="single"/>
          <w:insideV w:val="single"/>
        </w:tblBorders>
      </w:tblPr>
      <w:tblGrid>
        <w:gridCol w:w="461"/>
        <w:gridCol w:w="461"/>
        <w:gridCol w:w="2307"/>
        <w:gridCol w:w="5076"/>
      </w:tblGrid>
      <w:tr>
        <w:tc>
          <w:tcPr>
            <w:tcW w:type="dxa" w:w="922"/>
            <w:gridSpan w:val="2"/>
          </w:tcPr>
          <w:p>
            <w:pPr>
              <w:pStyle w:val="null3"/>
              <w:jc w:val="center"/>
            </w:pPr>
            <w:r>
              <w:rPr/>
              <w:t>评审因素</w:t>
            </w:r>
          </w:p>
        </w:tc>
        <w:tc>
          <w:tcPr>
            <w:tcW w:type="dxa" w:w="7383"/>
            <w:gridSpan w:val="2"/>
          </w:tcPr>
          <w:p>
            <w:pPr>
              <w:pStyle w:val="null3"/>
              <w:jc w:val="center"/>
            </w:pPr>
            <w:r>
              <w:rPr/>
              <w:t>评审标准</w:t>
            </w:r>
          </w:p>
        </w:tc>
      </w:tr>
      <w:tr>
        <w:tc>
          <w:tcPr>
            <w:tcW w:type="dxa" w:w="922"/>
            <w:gridSpan w:val="2"/>
          </w:tcPr>
          <w:p>
            <w:pPr>
              <w:pStyle w:val="null3"/>
              <w:jc w:val="center"/>
            </w:pPr>
            <w:r>
              <w:rPr/>
              <w:t>分值构成</w:t>
            </w:r>
          </w:p>
        </w:tc>
        <w:tc>
          <w:tcPr>
            <w:tcW w:type="dxa" w:w="7383"/>
            <w:gridSpan w:val="2"/>
          </w:tcPr>
          <w:p>
            <w:pPr>
              <w:pStyle w:val="null3"/>
            </w:pPr>
            <w:r>
              <w:rPr/>
              <w:t>商务部分30.0分</w:t>
            </w:r>
          </w:p>
          <w:p>
            <w:pPr>
              <w:pStyle w:val="null3"/>
            </w:pPr>
            <w:r>
              <w:rPr/>
              <w:t>技术部分40.0分</w:t>
            </w:r>
          </w:p>
          <w:p>
            <w:pPr>
              <w:pStyle w:val="null3"/>
            </w:pPr>
            <w:r>
              <w:rPr/>
              <w:t>报价得分30.0分</w:t>
            </w:r>
          </w:p>
        </w:tc>
      </w:tr>
      <w:tr>
        <w:tc>
          <w:tcPr>
            <w:tcW w:type="dxa" w:w="922"/>
            <w:gridSpan w:val="2"/>
            <w:vMerge w:val="restart"/>
          </w:tcPr>
          <w:p>
            <w:pPr>
              <w:pStyle w:val="null3"/>
              <w:jc w:val="center"/>
            </w:pPr>
            <w:r>
              <w:rPr/>
              <w:t>技术部分</w:t>
            </w:r>
          </w:p>
        </w:tc>
        <w:tc>
          <w:tcPr>
            <w:tcW w:type="dxa" w:w="2307"/>
          </w:tcPr>
          <w:p>
            <w:pPr>
              <w:pStyle w:val="null3"/>
              <w:jc w:val="left"/>
            </w:pPr>
            <w:r>
              <w:rPr/>
              <w:t>产品技术指标满足程度 (24.0分)</w:t>
            </w:r>
          </w:p>
        </w:tc>
        <w:tc>
          <w:tcPr>
            <w:tcW w:type="dxa" w:w="5076"/>
          </w:tcPr>
          <w:p>
            <w:pPr>
              <w:pStyle w:val="null3"/>
              <w:jc w:val="left"/>
            </w:pPr>
            <w:r>
              <w:rPr/>
              <w:t>技术参数中 “▲”项有1项不满足扣1.5分，本项扣至0分为止，全部满足得24分。 注：响应文件中以“技术和服务要求响应表”及采购需求要求提供相关证明材料作为评审依据，不提供或未按要求提供的不得分。</w:t>
            </w:r>
          </w:p>
        </w:tc>
      </w:tr>
      <w:tr>
        <w:tc>
          <w:tcPr>
            <w:tcW w:type="dxa" w:w="922"/>
            <w:gridSpan w:val="2"/>
            <w:vMerge/>
          </w:tcPr>
          <w:p/>
        </w:tc>
        <w:tc>
          <w:tcPr>
            <w:tcW w:type="dxa" w:w="2307"/>
          </w:tcPr>
          <w:p>
            <w:pPr>
              <w:pStyle w:val="null3"/>
              <w:jc w:val="left"/>
            </w:pPr>
            <w:r>
              <w:rPr/>
              <w:t>深化能力 (4.0分)</w:t>
            </w:r>
          </w:p>
        </w:tc>
        <w:tc>
          <w:tcPr>
            <w:tcW w:type="dxa" w:w="5076"/>
          </w:tcPr>
          <w:p>
            <w:pPr>
              <w:pStyle w:val="null3"/>
              <w:jc w:val="left"/>
            </w:pPr>
            <w:r>
              <w:rPr/>
              <w:t>投标人针对本项目提供具体的设计图纸如：系统的拓扑图、机柜的设备分布图等进行评审： 优：响应供应商根据本项目需求内容，提供、设计系统的拓扑图、机柜的设备分布图等，非常详细合理、可行，得4分； 良：响应供应商根据本项目需求内容，提供、设计系统的拓扑图、机柜的设备分布图等，较为详细合理、较可行，得3分； 中：响应供应商根据本项目需求内容，提供、设计系统的拓扑图、机柜的设备分布图等，基本完整合理、基本可行，得2分； 差：未提供或未设计系统的拓扑图、机柜的设备分布图等，或提供的内容明显不合理、不可行，得0分。</w:t>
            </w:r>
          </w:p>
        </w:tc>
      </w:tr>
      <w:tr>
        <w:tc>
          <w:tcPr>
            <w:tcW w:type="dxa" w:w="922"/>
            <w:gridSpan w:val="2"/>
            <w:vMerge/>
          </w:tcPr>
          <w:p/>
        </w:tc>
        <w:tc>
          <w:tcPr>
            <w:tcW w:type="dxa" w:w="2307"/>
          </w:tcPr>
          <w:p>
            <w:pPr>
              <w:pStyle w:val="null3"/>
              <w:jc w:val="left"/>
            </w:pPr>
            <w:r>
              <w:rPr/>
              <w:t>实施方案 (6.0分)</w:t>
            </w:r>
          </w:p>
        </w:tc>
        <w:tc>
          <w:tcPr>
            <w:tcW w:type="dxa" w:w="5076"/>
          </w:tcPr>
          <w:p>
            <w:pPr>
              <w:pStyle w:val="null3"/>
              <w:jc w:val="left"/>
            </w:pPr>
            <w:r>
              <w:rPr/>
              <w:t>对整个项目实施方案的可行性、实施组织机构是否健全、实施人员配备是否充足、实施进度计划科学合理性，质量控制措施等方面进行评审： 优：实施方案详细、可行性高，针对性强、计划周密，实施组织机构健全、实施人员配备充足、充分，优于本项目需求，实施进度计划科学合理，施工进度有充分保障，质量控制措施、培训计划详细、具体，有针对性，得6分； 良：实施方案较详细，可行性较高，有针对性，实施组织机构较健全、实施人员配备较合理，实施进度计划较合理，施工进度有基本保障，有质量控制措施、培训计划，得5分； 中：实施方案一般、基本可行，得4分； 差：未提供实施方案，得0分。</w:t>
            </w:r>
          </w:p>
        </w:tc>
      </w:tr>
      <w:tr>
        <w:tc>
          <w:tcPr>
            <w:tcW w:type="dxa" w:w="922"/>
            <w:gridSpan w:val="2"/>
            <w:vMerge/>
          </w:tcPr>
          <w:p/>
        </w:tc>
        <w:tc>
          <w:tcPr>
            <w:tcW w:type="dxa" w:w="2307"/>
          </w:tcPr>
          <w:p>
            <w:pPr>
              <w:pStyle w:val="null3"/>
              <w:jc w:val="left"/>
            </w:pPr>
            <w:r>
              <w:rPr/>
              <w:t>售后服务方案 (6.0分)</w:t>
            </w:r>
          </w:p>
        </w:tc>
        <w:tc>
          <w:tcPr>
            <w:tcW w:type="dxa" w:w="5076"/>
          </w:tcPr>
          <w:p>
            <w:pPr>
              <w:pStyle w:val="null3"/>
              <w:jc w:val="left"/>
            </w:pPr>
            <w:r>
              <w:rPr/>
              <w:t>根据响应供应商提供的售后服务方案进行评审： 优：售后服务方案具体，售后服务承诺书内容具有免费保修期限、到达故障现场时间、故障出现解决方案、定期维护（需注明时间）、免费技术培训方案、保修期外维修方案、安装要求及方案，具有优秀的保障服务能力，得6分； 良：售后服务方案较具体，售后服务承诺书内容具有免费保修期限、到达故障现场时间、故障出现解决方案、定期维护（需注明时间）、免费技术培训方案、保修期外维修方案、安装要求及方案，具有较好保障服务能力，得5分； 中：售后服务方案简单，售后服务承诺书内容较少，得4分； 差：未提供售后服务方案或售后服务承诺书，得0分。</w:t>
            </w:r>
          </w:p>
        </w:tc>
      </w:tr>
      <w:tr>
        <w:tc>
          <w:tcPr>
            <w:tcW w:type="dxa" w:w="922"/>
            <w:gridSpan w:val="2"/>
            <w:vMerge w:val="restart"/>
          </w:tcPr>
          <w:p>
            <w:pPr>
              <w:pStyle w:val="null3"/>
              <w:jc w:val="center"/>
            </w:pPr>
            <w:r>
              <w:rPr/>
              <w:t>商务部分</w:t>
            </w:r>
          </w:p>
        </w:tc>
        <w:tc>
          <w:tcPr>
            <w:tcW w:type="dxa" w:w="2307"/>
          </w:tcPr>
          <w:p>
            <w:pPr>
              <w:pStyle w:val="null3"/>
              <w:jc w:val="left"/>
            </w:pPr>
            <w:r>
              <w:rPr/>
              <w:t>企业认证 (12.0分)</w:t>
            </w:r>
          </w:p>
        </w:tc>
        <w:tc>
          <w:tcPr>
            <w:tcW w:type="dxa" w:w="5076"/>
          </w:tcPr>
          <w:p>
            <w:pPr>
              <w:pStyle w:val="null3"/>
              <w:jc w:val="left"/>
            </w:pPr>
            <w:r>
              <w:rPr/>
              <w:t>1.响应供应商具有有效的安全技术防范企业设计施工维护能力评价等级证书：一级得3分，二级资质得2分，三级得1分，四级得0.5分。 2.响应供应商具有有效的安全生产许可证，得3分。 3.响应供应商具有有效的信息技术售后服务体系认证证书，得3分。 4.响应供应商具有有效的设备维护保养服务认证证书，得3分。 注： 1.响应文件中提供上述有效期内的证书复印件（获证证书主体须与响应供应商名称一致），并加盖响应供应商公章。如获证证书主体与响应供应商名称不一致，响应供应商须提供变更企业名称的相关证明材料，并加盖响应供应商公章。 2.响应文件中提供第三、第四项的认证证书在“全国认证认可信息公共服务平台”的查询截图并加盖响应供应商公章（网址：http://cx.cnca.cn/CertECloud/result/skipResultList），截图必须含有“证书编号”和“证书状态”的内容，截图中的“证书状态”应处于“有效”状态。 3.以上证书不重复计分，以最高分为准。 4.不提供或未按要求提供的不得分。</w:t>
            </w:r>
          </w:p>
        </w:tc>
      </w:tr>
      <w:tr>
        <w:tc>
          <w:tcPr>
            <w:tcW w:type="dxa" w:w="922"/>
            <w:gridSpan w:val="2"/>
            <w:vMerge/>
          </w:tcPr>
          <w:p/>
        </w:tc>
        <w:tc>
          <w:tcPr>
            <w:tcW w:type="dxa" w:w="2307"/>
          </w:tcPr>
          <w:p>
            <w:pPr>
              <w:pStyle w:val="null3"/>
              <w:jc w:val="left"/>
            </w:pPr>
            <w:r>
              <w:rPr/>
              <w:t>项目负责人情况 (6.0分)</w:t>
            </w:r>
          </w:p>
        </w:tc>
        <w:tc>
          <w:tcPr>
            <w:tcW w:type="dxa" w:w="5076"/>
          </w:tcPr>
          <w:p>
            <w:pPr>
              <w:pStyle w:val="null3"/>
              <w:jc w:val="left"/>
            </w:pPr>
            <w:r>
              <w:rPr/>
              <w:t>拟投入的项目经理（即项目负责人）具备以下证书： 1.信息系统项目管理师证书，得1.5分； 2.网络规划设计师证书，得1.5分； 3.信息安全工程师证书，得1.5分； 4.网络与信息安全管理师证书，得1.5分。 本项满分6分。 注： 1.提供上述人员的证书复印件并加盖响应供应商公章。 2.以上证书只能是同一人具备。 3.提供响应供应商为其购买的响应文件递交截止时间为止近半年内任意1个月的社保证明复印件（代缴个税税单或参加社会保险的《投保单》或《社会保险参保人员证明》等证明均可，并加盖响应供应商公章）。如果响应供应商成立时间或该人员入职不足1个月，则提供人员入职证明及入职时间至今的社保证明。如果响应供应商上述人员为其他用工形式，则需提供该人员用工关系的证明资料且人员用工关系证明中须列明该人员的用工期限，用工期限应涵盖本项目服务时间。若响应供应商未能提供该人员社保的，可以在响应文件中提供相关承诺（承诺书须加盖公章，格式自拟，承诺书内容包括但不限于以下内容：若我单位成交，合同签订时保证按响应文件中所配备投入本项目的人员全部到位并提供所有人员的社保证明或劳动合同或劳务合同等多种用工形式证明，否则视为我单位放弃成交资格），视为满足社保评审要求。 4.不提供或未按要求提供的不得分。</w:t>
            </w:r>
          </w:p>
        </w:tc>
      </w:tr>
      <w:tr>
        <w:tc>
          <w:tcPr>
            <w:tcW w:type="dxa" w:w="922"/>
            <w:gridSpan w:val="2"/>
            <w:vMerge/>
          </w:tcPr>
          <w:p/>
        </w:tc>
        <w:tc>
          <w:tcPr>
            <w:tcW w:type="dxa" w:w="2307"/>
          </w:tcPr>
          <w:p>
            <w:pPr>
              <w:pStyle w:val="null3"/>
              <w:jc w:val="left"/>
            </w:pPr>
            <w:r>
              <w:rPr/>
              <w:t>拟投入技术人员情况 (4.0分)</w:t>
            </w:r>
          </w:p>
        </w:tc>
        <w:tc>
          <w:tcPr>
            <w:tcW w:type="dxa" w:w="5076"/>
          </w:tcPr>
          <w:p>
            <w:pPr>
              <w:pStyle w:val="null3"/>
              <w:jc w:val="left"/>
            </w:pPr>
            <w:r>
              <w:rPr/>
              <w:t>项目实施团队成员（项目经理除外）具备以下证书： 1.信息安全工程师证书，每提供1个得1分，最高得1分。 2.网络工程师证书，每提供1个得1分，最高得1分； 3.系统集成项目管理工程师证书，每提供1人得1分，最高得1分； 4.硬件维护类工程师证书，每提供1个得1分，最高得1分。 本项满分4分。 注： 1.提供上述人员的证书复印件并加盖响应供应商公章。 2.以上人员不重复计分，以最高分为准。 3.提供响应供应商为其购买的响应文件递交截止时间为止近半年内任意1个月的社保证明复印件（代缴个税税单或参加社会保险的《投保单》或《社会保险参保人员证明》等证明均可，并加盖响应供应商公章）。如果响应供应商成立时间或该人员入职不足1个月，则提供人员入职证明及入职时间至今的社保证明。如果响应供应商上述人员为其他用工形式，则需提供该人员用工关系的证明资料且人员用工关系证明中须列明该人员的用工期限，用工期限应涵盖本项目服务时间。若响应供应商未能提供该人员社保的，可以在响应文件中提供相关承诺（承诺书须加盖公章，格式自拟，承诺书内容包括但不限于以下内容：若我单位成交，合同签订时保证按响应文件中所配备投入本项目的人员全部到位并提供所有人员的社保证明或劳动合同或劳务合同等多种用工形式证明，否则视为我单位放弃成交资格），视为满足社保评审要求。 4.不提供或未按要求提供的不得分。</w:t>
            </w:r>
          </w:p>
        </w:tc>
      </w:tr>
      <w:tr>
        <w:tc>
          <w:tcPr>
            <w:tcW w:type="dxa" w:w="922"/>
            <w:gridSpan w:val="2"/>
            <w:vMerge/>
          </w:tcPr>
          <w:p/>
        </w:tc>
        <w:tc>
          <w:tcPr>
            <w:tcW w:type="dxa" w:w="2307"/>
          </w:tcPr>
          <w:p>
            <w:pPr>
              <w:pStyle w:val="null3"/>
              <w:jc w:val="left"/>
            </w:pPr>
            <w:r>
              <w:rPr/>
              <w:t>业绩情况 (8.0分)</w:t>
            </w:r>
          </w:p>
        </w:tc>
        <w:tc>
          <w:tcPr>
            <w:tcW w:type="dxa" w:w="5076"/>
          </w:tcPr>
          <w:p>
            <w:pPr>
              <w:pStyle w:val="null3"/>
              <w:jc w:val="left"/>
            </w:pPr>
            <w:r>
              <w:rPr/>
              <w:t>响应供应商2022年01月01日以来（以合同签订日期为准）实施的同类项目业绩经验情况： 每提供1份合同得2分，满分8分。 注： 响应文件中须提供合同复印件关键页加盖响应供应商公章，合同至少包含清晰的双方盖章、签订时间、标的名称、内容等信息，不提供或未按要求提供或提供的资料不清晰或无法凭所提供资料判断是否得分的，一律作不得分处理。</w:t>
            </w:r>
          </w:p>
        </w:tc>
      </w:tr>
      <w:tr>
        <w:tc>
          <w:tcPr>
            <w:tcW w:type="dxa" w:w="922"/>
            <w:gridSpan w:val="2"/>
          </w:tcPr>
          <w:p>
            <w:pPr>
              <w:pStyle w:val="null3"/>
              <w:jc w:val="center"/>
            </w:pPr>
            <w:r>
              <w:rPr/>
              <w:t>投标报价</w:t>
            </w:r>
          </w:p>
        </w:tc>
        <w:tc>
          <w:tcPr>
            <w:tcW w:type="dxa" w:w="2307"/>
          </w:tcPr>
          <w:p>
            <w:pPr>
              <w:pStyle w:val="null3"/>
              <w:jc w:val="left"/>
            </w:pPr>
            <w:r>
              <w:rPr/>
              <w:t>投标报价得分 (30.0分)</w:t>
            </w:r>
          </w:p>
        </w:tc>
        <w:tc>
          <w:tcPr>
            <w:tcW w:type="dxa" w:w="5076"/>
          </w:tcPr>
          <w:p>
            <w:pPr>
              <w:pStyle w:val="null3"/>
              <w:jc w:val="left"/>
            </w:pPr>
            <w:r>
              <w:rPr/>
              <w:t>投标报价得分＝（评标基准价/投标报价）×价格分值【注：满足招标文件要求且投标价格最低的投标报价为评标基准价。】最低报价不是中标的唯一依据。因落实政府采购政策进行价格调整的，以调整后的价格计算评标基准价和投标报价。</w:t>
            </w:r>
          </w:p>
        </w:tc>
      </w:tr>
    </w:tbl>
    <w:p>
      <w:pPr>
        <w:pStyle w:val="null3"/>
        <w:outlineLvl w:val="3"/>
      </w:pPr>
      <w:r>
        <w:rPr>
          <w:sz w:val="24"/>
          <w:b/>
        </w:rPr>
        <w:t>6.汇总、排序</w:t>
      </w:r>
    </w:p>
    <w:p>
      <w:pPr>
        <w:pStyle w:val="null3"/>
      </w:pPr>
      <w:r>
        <w:rPr/>
        <w:t>采购包1：</w:t>
      </w:r>
    </w:p>
    <w:p>
      <w:pPr>
        <w:pStyle w:val="null3"/>
      </w:pPr>
      <w:r>
        <w:rPr/>
        <w:t>评审结果按评审后总得分由高到低顺序排列。评审得分相同的，按最终报价由低到高顺序排列。得分且最终报价相同的，由谈判小组采取随机抽取的方式确定。排名第一的谈判供应商为第一成交候选人，排名第二的谈判供应商为第二成交候选人（提供相同品牌产品（非单一产品采购，以核心产品为准。多个核心产品的，有一种产品品牌相同，即视为提供相同品牌产品），评审后得分最高的同品牌谈判供应商获得成交候选人推荐资格；评审得分相同的，由采购人或者采购人委托谈判小组采取随机抽取方式确定，其他同品牌谈判供应商不作为成交候选人）。</w:t>
      </w:r>
    </w:p>
    <w:p>
      <w:pPr>
        <w:pStyle w:val="null3"/>
        <w:outlineLvl w:val="3"/>
      </w:pPr>
      <w:r>
        <w:rPr>
          <w:sz w:val="24"/>
          <w:b/>
        </w:rPr>
        <w:t>7.其他无效响应的情形：</w:t>
      </w:r>
    </w:p>
    <w:p>
      <w:pPr>
        <w:pStyle w:val="null3"/>
        <w:ind w:firstLine="480"/>
      </w:pPr>
      <w:r>
        <w:rPr/>
        <w:t>（1）评审期间，供应商没有按磋商小组的要求提交法定代表人或其委托代理人签字的澄清、说明、补正或改变了响应文件的实质性内容的。</w:t>
      </w:r>
    </w:p>
    <w:p>
      <w:pPr>
        <w:pStyle w:val="null3"/>
        <w:ind w:firstLine="480"/>
      </w:pPr>
      <w:r>
        <w:rPr/>
        <w:t>（2）响应文件提供虚假材料的。</w:t>
      </w:r>
    </w:p>
    <w:p>
      <w:pPr>
        <w:pStyle w:val="null3"/>
        <w:ind w:firstLine="480"/>
      </w:pPr>
      <w:r>
        <w:rPr/>
        <w:t>（3）供应商以他人名义响应、串通响应、以行贿手段谋取成交或者以其他弄虚作假方式响应的。</w:t>
      </w:r>
    </w:p>
    <w:p>
      <w:pPr>
        <w:pStyle w:val="null3"/>
        <w:ind w:firstLine="480"/>
      </w:pPr>
      <w:r>
        <w:rPr/>
        <w:t>（4）供应商对采购人、采购代理机构、磋商小组及其工作人员施加影响，有碍招标公平、公正的。</w:t>
      </w:r>
    </w:p>
    <w:p>
      <w:pPr>
        <w:pStyle w:val="null3"/>
        <w:ind w:firstLine="480"/>
      </w:pPr>
      <w:r>
        <w:rPr/>
        <w:t>（5）响应文件含有采购人不能接受的附加条件的。</w:t>
      </w:r>
    </w:p>
    <w:p>
      <w:pPr>
        <w:pStyle w:val="null3"/>
        <w:ind w:firstLine="480"/>
      </w:pPr>
      <w:r>
        <w:rPr/>
        <w:t>（6）法律、法规和磋商文件规定的其他无效情形。</w:t>
      </w:r>
    </w:p>
    <w:p>
      <w:pPr>
        <w:pStyle w:val="null3"/>
      </w:pPr>
      <w:r>
        <w:rPr/>
        <w:t xml:space="preserve">  </w:t>
      </w:r>
    </w:p>
    <w:p>
      <w:pPr>
        <w:pStyle w:val="null3"/>
        <w:jc w:val="center"/>
        <w:outlineLvl w:val="1"/>
      </w:pPr>
      <w:r>
        <w:rPr>
          <w:sz w:val="36"/>
          <w:b/>
        </w:rPr>
        <w:t>第五章 合同文本</w:t>
      </w:r>
    </w:p>
    <w:p>
      <w:pPr>
        <w:pStyle w:val="null3"/>
      </w:pPr>
      <w:r>
        <w:rPr>
          <w:sz w:val="48"/>
          <w:b/>
        </w:rPr>
        <w:t xml:space="preserve"> </w:t>
      </w:r>
    </w:p>
    <w:p>
      <w:pPr>
        <w:pStyle w:val="null3"/>
        <w:spacing w:before="0" w:after="0" w:lineRule="auto" w:line="360"/>
        <w:ind w:left="0" w:right="0"/>
        <w:jc w:val="center"/>
      </w:pPr>
      <w:r>
        <w:rPr>
          <w:sz w:val="48"/>
          <w:b/>
        </w:rPr>
        <w:t xml:space="preserve"> </w:t>
      </w:r>
    </w:p>
    <w:p>
      <w:pPr>
        <w:pStyle w:val="null3"/>
        <w:spacing w:before="0" w:after="0" w:lineRule="auto" w:line="360"/>
        <w:ind w:left="0" w:right="0"/>
        <w:jc w:val="center"/>
      </w:pPr>
      <w:r>
        <w:rPr>
          <w:sz w:val="48"/>
          <w:b/>
        </w:rPr>
        <w:t xml:space="preserve"> </w:t>
      </w:r>
    </w:p>
    <w:p>
      <w:pPr>
        <w:pStyle w:val="null3"/>
        <w:spacing w:before="0" w:after="0" w:lineRule="auto" w:line="360"/>
        <w:ind w:left="0" w:right="0"/>
        <w:jc w:val="center"/>
      </w:pPr>
      <w:r>
        <w:rPr>
          <w:sz w:val="48"/>
          <w:b/>
        </w:rPr>
        <w:t>广东省政府采购</w:t>
      </w:r>
    </w:p>
    <w:p>
      <w:pPr>
        <w:pStyle w:val="null3"/>
        <w:spacing w:before="0" w:after="0" w:lineRule="auto" w:line="360"/>
        <w:ind w:left="0" w:right="0"/>
        <w:jc w:val="both"/>
      </w:pPr>
      <w:r>
        <w:rPr>
          <w:sz w:val="48"/>
          <w:b/>
        </w:rPr>
        <w:t xml:space="preserve"> </w:t>
      </w:r>
    </w:p>
    <w:p>
      <w:pPr>
        <w:pStyle w:val="null3"/>
        <w:spacing w:before="0" w:after="0" w:lineRule="auto" w:line="360"/>
        <w:ind w:left="0" w:right="0"/>
        <w:jc w:val="center"/>
      </w:pPr>
      <w:r>
        <w:rPr>
          <w:sz w:val="48"/>
          <w:b/>
        </w:rPr>
        <w:t>合　同　书</w:t>
      </w:r>
    </w:p>
    <w:p>
      <w:pPr>
        <w:pStyle w:val="null3"/>
        <w:spacing w:before="0" w:after="0"/>
        <w:ind w:left="0" w:right="0"/>
        <w:jc w:val="center"/>
      </w:pPr>
      <w:r>
        <w:br/>
      </w:r>
      <w:r>
        <w:rPr>
          <w:sz w:val="27"/>
        </w:rPr>
        <w:t>（注：本合同仅为合同的参考文本，合同签订双方根据项目的具体要求进行签订）</w:t>
      </w:r>
      <w:r>
        <w:br/>
      </w:r>
      <w:r>
        <w:br/>
      </w:r>
      <w:r>
        <w:br/>
      </w:r>
      <w:r>
        <w:br/>
      </w:r>
      <w:r>
        <w:rPr>
          <w:sz w:val="27"/>
          <w:color w:val="222222"/>
        </w:rPr>
        <w:t xml:space="preserve"> </w:t>
      </w:r>
    </w:p>
    <w:p>
      <w:pPr>
        <w:pStyle w:val="null3"/>
        <w:spacing w:before="0" w:after="0"/>
        <w:ind w:left="0" w:right="0"/>
        <w:jc w:val="center"/>
      </w:pPr>
      <w:r>
        <w:rPr>
          <w:sz w:val="28"/>
          <w:color w:val="222222"/>
        </w:rPr>
        <w:t>采购计划编号：</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p>
    <w:p>
      <w:pPr>
        <w:pStyle w:val="null3"/>
        <w:spacing w:before="150" w:after="150"/>
        <w:ind w:left="0" w:right="0"/>
        <w:jc w:val="both"/>
      </w:pPr>
      <w:r>
        <w:rPr>
          <w:sz w:val="27"/>
          <w:color w:val="222222"/>
        </w:rPr>
        <w:t xml:space="preserve"> </w:t>
      </w:r>
    </w:p>
    <w:p>
      <w:pPr>
        <w:pStyle w:val="null3"/>
        <w:spacing w:before="0" w:after="0"/>
        <w:ind w:left="0" w:right="0"/>
        <w:jc w:val="center"/>
      </w:pPr>
      <w:r>
        <w:rPr>
          <w:sz w:val="28"/>
          <w:color w:val="222222"/>
        </w:rPr>
        <w:t>项目编号：</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p>
    <w:p>
      <w:pPr>
        <w:pStyle w:val="null3"/>
        <w:spacing w:before="150" w:after="150"/>
        <w:ind w:left="0" w:right="0"/>
        <w:jc w:val="both"/>
      </w:pPr>
      <w:r>
        <w:rPr>
          <w:sz w:val="27"/>
          <w:color w:val="222222"/>
        </w:rPr>
        <w:t xml:space="preserve"> </w:t>
      </w:r>
    </w:p>
    <w:p>
      <w:pPr>
        <w:pStyle w:val="null3"/>
        <w:spacing w:before="0" w:after="0"/>
        <w:ind w:left="0" w:right="0"/>
        <w:jc w:val="center"/>
      </w:pPr>
      <w:r>
        <w:rPr>
          <w:sz w:val="28"/>
          <w:color w:val="222222"/>
        </w:rPr>
        <w:t>项目名称：</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p>
    <w:p>
      <w:pPr>
        <w:pStyle w:val="null3"/>
        <w:spacing w:before="0" w:after="0" w:lineRule="auto" w:line="360"/>
        <w:ind w:left="0" w:right="0"/>
        <w:jc w:val="center"/>
      </w:pPr>
      <w:r>
        <w:rPr>
          <w:sz w:val="36"/>
        </w:rPr>
        <w:t xml:space="preserve"> </w:t>
      </w:r>
    </w:p>
    <w:p>
      <w:pPr>
        <w:pStyle w:val="null3"/>
        <w:spacing w:before="0" w:after="0" w:lineRule="auto" w:line="360"/>
        <w:ind w:left="0" w:right="0"/>
        <w:jc w:val="center"/>
      </w:pPr>
      <w:r>
        <w:rPr>
          <w:sz w:val="36"/>
        </w:rPr>
        <w:t xml:space="preserve"> </w:t>
      </w:r>
    </w:p>
    <w:p>
      <w:pPr>
        <w:pStyle w:val="null3"/>
        <w:spacing w:before="0" w:after="0" w:lineRule="auto" w:line="360"/>
        <w:ind w:left="0" w:right="0"/>
        <w:jc w:val="center"/>
      </w:pPr>
      <w:r>
        <w:rPr>
          <w:sz w:val="36"/>
        </w:rPr>
        <w:t xml:space="preserve"> </w:t>
      </w:r>
    </w:p>
    <w:p>
      <w:pPr>
        <w:pStyle w:val="null3"/>
        <w:spacing w:before="0" w:after="0" w:lineRule="auto" w:line="360"/>
        <w:ind w:left="0" w:right="0"/>
        <w:jc w:val="center"/>
      </w:pPr>
      <w:r>
        <w:rPr>
          <w:sz w:val="36"/>
        </w:rPr>
        <w:t xml:space="preserve"> </w:t>
      </w:r>
    </w:p>
    <w:p>
      <w:pPr>
        <w:pStyle w:val="null3"/>
        <w:spacing w:before="0" w:after="0" w:lineRule="auto" w:line="360"/>
        <w:ind w:left="0" w:right="0"/>
        <w:jc w:val="both"/>
      </w:pPr>
      <w:r>
        <w:rPr>
          <w:sz w:val="27"/>
          <w:b/>
        </w:rPr>
        <w:t>甲　　方：</w:t>
      </w:r>
      <w:r>
        <w:rPr>
          <w:sz w:val="27"/>
          <w:u w:val="single"/>
        </w:rPr>
        <w:t>　　　　　</w:t>
      </w:r>
    </w:p>
    <w:p>
      <w:pPr>
        <w:pStyle w:val="null3"/>
        <w:spacing w:before="0" w:after="0" w:lineRule="auto" w:line="360"/>
        <w:ind w:left="0" w:right="0"/>
        <w:jc w:val="both"/>
      </w:pPr>
      <w:r>
        <w:rPr>
          <w:sz w:val="27"/>
        </w:rPr>
        <w:t>电　　话：</w:t>
      </w:r>
      <w:r>
        <w:rPr>
          <w:sz w:val="27"/>
          <w:u w:val="single"/>
        </w:rPr>
        <w:t>　　　　</w:t>
      </w:r>
      <w:r>
        <w:rPr>
          <w:sz w:val="27"/>
        </w:rPr>
        <w:t>　　传　　真：</w:t>
      </w:r>
      <w:r>
        <w:rPr>
          <w:sz w:val="27"/>
          <w:u w:val="single"/>
        </w:rPr>
        <w:t>　　　</w:t>
      </w:r>
      <w:r>
        <w:rPr>
          <w:sz w:val="27"/>
        </w:rPr>
        <w:t>　　地　　址：</w:t>
      </w:r>
      <w:r>
        <w:rPr>
          <w:sz w:val="27"/>
          <w:u w:val="single"/>
        </w:rPr>
        <w:t>　　　</w:t>
      </w:r>
    </w:p>
    <w:p>
      <w:pPr>
        <w:pStyle w:val="null3"/>
        <w:spacing w:before="0" w:after="0" w:lineRule="auto" w:line="360"/>
        <w:ind w:left="0" w:right="0"/>
        <w:jc w:val="both"/>
      </w:pPr>
      <w:r>
        <w:rPr>
          <w:sz w:val="27"/>
          <w:b/>
        </w:rPr>
        <w:t>乙　　方：</w:t>
      </w:r>
      <w:r>
        <w:rPr>
          <w:sz w:val="27"/>
          <w:u w:val="single"/>
        </w:rPr>
        <w:t>　　　　　</w:t>
      </w:r>
    </w:p>
    <w:p>
      <w:pPr>
        <w:pStyle w:val="null3"/>
        <w:spacing w:before="0" w:after="0" w:lineRule="auto" w:line="360"/>
        <w:ind w:left="0" w:right="0"/>
        <w:jc w:val="both"/>
      </w:pPr>
      <w:r>
        <w:rPr>
          <w:sz w:val="27"/>
        </w:rPr>
        <w:t>电　　话：</w:t>
      </w:r>
      <w:r>
        <w:rPr>
          <w:sz w:val="27"/>
          <w:u w:val="single"/>
        </w:rPr>
        <w:t>　　　　</w:t>
      </w:r>
      <w:r>
        <w:rPr>
          <w:sz w:val="27"/>
        </w:rPr>
        <w:t>　　传　　真：</w:t>
      </w:r>
      <w:r>
        <w:rPr>
          <w:sz w:val="27"/>
          <w:u w:val="single"/>
        </w:rPr>
        <w:t>　　　</w:t>
      </w:r>
      <w:r>
        <w:rPr>
          <w:sz w:val="27"/>
        </w:rPr>
        <w:t>　　地　　址：</w:t>
      </w:r>
      <w:r>
        <w:rPr>
          <w:sz w:val="27"/>
          <w:u w:val="single"/>
        </w:rPr>
        <w:t>　　　</w:t>
      </w:r>
    </w:p>
    <w:p>
      <w:pPr>
        <w:pStyle w:val="null3"/>
        <w:spacing w:before="0" w:after="0" w:lineRule="auto" w:line="360"/>
        <w:ind w:left="0" w:right="0"/>
        <w:jc w:val="both"/>
      </w:pPr>
      <w:r>
        <w:rPr>
          <w:sz w:val="27"/>
        </w:rPr>
        <w:t xml:space="preserve"> </w:t>
      </w:r>
    </w:p>
    <w:p>
      <w:pPr>
        <w:pStyle w:val="null3"/>
        <w:spacing w:before="0" w:after="0" w:lineRule="auto" w:line="360"/>
        <w:ind w:left="0" w:right="0" w:firstLine="404"/>
        <w:jc w:val="both"/>
      </w:pPr>
      <w:r>
        <w:rPr>
          <w:sz w:val="27"/>
        </w:rPr>
        <w:t xml:space="preserve">根据 </w:t>
      </w:r>
      <w:r>
        <w:rPr>
          <w:sz w:val="27"/>
          <w:u w:val="single"/>
        </w:rPr>
        <w:t xml:space="preserve">              项目</w:t>
      </w:r>
      <w:r>
        <w:rPr>
          <w:sz w:val="27"/>
        </w:rPr>
        <w:t>的采购结果，按照《中华人民共和国政府采购法》、《中华人民共和国民法典(合同编)》的规定，</w:t>
      </w:r>
      <w:r>
        <w:rPr>
          <w:sz w:val="27"/>
        </w:rPr>
        <w:t>经双方协商，</w:t>
      </w:r>
      <w:r>
        <w:rPr>
          <w:sz w:val="27"/>
        </w:rPr>
        <w:t>本着平等互利和诚实信用的原则，</w:t>
      </w:r>
      <w:r>
        <w:rPr>
          <w:sz w:val="27"/>
        </w:rPr>
        <w:t>一致同意签订本合同如下。</w:t>
      </w:r>
    </w:p>
    <w:p>
      <w:pPr>
        <w:pStyle w:val="null3"/>
        <w:spacing w:before="0" w:after="0" w:lineRule="auto" w:line="360"/>
        <w:ind w:left="1092" w:right="0"/>
        <w:jc w:val="both"/>
      </w:pPr>
      <w:r>
        <w:rPr>
          <w:sz w:val="27"/>
          <w:b/>
        </w:rPr>
        <w:t>一、</w:t>
      </w:r>
      <w:r>
        <w:rPr>
          <w:sz w:val="27"/>
        </w:rPr>
        <w:t xml:space="preserve"> </w:t>
      </w:r>
      <w:r>
        <w:rPr>
          <w:sz w:val="27"/>
          <w:b/>
        </w:rPr>
        <w:t>升级改造设备</w:t>
      </w:r>
      <w:r>
        <w:rPr>
          <w:sz w:val="27"/>
          <w:b/>
        </w:rPr>
        <w:t>内容</w:t>
      </w:r>
    </w:p>
    <w:tbl>
      <w:tblPr>
        <w:tblW w:w="0" w:type="auto"/>
        <w:tblBorders>
          <w:top w:val="single"/>
          <w:left w:val="single"/>
          <w:bottom w:val="single"/>
          <w:right w:val="single"/>
          <w:insideH w:val="single"/>
          <w:insideV w:val="single"/>
        </w:tblBorders>
      </w:tblPr>
      <w:tblGrid>
        <w:gridCol w:w="696"/>
        <w:gridCol w:w="3516"/>
        <w:gridCol w:w="696"/>
        <w:gridCol w:w="470"/>
        <w:gridCol w:w="470"/>
        <w:gridCol w:w="705"/>
        <w:gridCol w:w="705"/>
      </w:tblGrid>
      <w:tr>
        <w:tc>
          <w:tcPr>
            <w:tcW w:type="dxa" w:w="696"/>
            <w:tcBorders>
              <w:top w:val="single" w:color="CCCCCC" w:sz="4"/>
              <w:left w:val="single" w:color="CCCCCC" w:sz="4"/>
              <w:bottom w:val="single" w:color="CCCCCC" w:sz="8"/>
              <w:right w:val="single" w:color="CCCCCC" w:sz="4"/>
            </w:tcBorders>
            <w:tcMar>
              <w:top w:type="dxa" w:w="37"/>
              <w:left w:type="dxa" w:w="67"/>
              <w:bottom w:type="dxa" w:w="30"/>
              <w:right w:type="dxa" w:w="67"/>
            </w:tcMar>
            <w:vAlign w:val="center"/>
          </w:tcPr>
          <w:p>
            <w:pPr>
              <w:pStyle w:val="null3"/>
              <w:spacing w:before="0" w:after="0"/>
              <w:ind w:left="0" w:right="0"/>
              <w:jc w:val="both"/>
            </w:pPr>
            <w:r>
              <w:rPr>
                <w:sz w:val="24"/>
              </w:rPr>
              <w:t>名称</w:t>
            </w:r>
          </w:p>
        </w:tc>
        <w:tc>
          <w:tcPr>
            <w:tcW w:type="dxa" w:w="3516"/>
            <w:tcBorders>
              <w:top w:val="single" w:color="CCCCCC" w:sz="4"/>
              <w:bottom w:val="single" w:color="CCCCCC" w:sz="8"/>
              <w:right w:val="single" w:color="CCCCCC" w:sz="4"/>
            </w:tcBorders>
            <w:tcMar>
              <w:top w:type="dxa" w:w="37"/>
              <w:left w:type="dxa" w:w="75"/>
              <w:bottom w:type="dxa" w:w="30"/>
              <w:right w:type="dxa" w:w="67"/>
            </w:tcMar>
            <w:vAlign w:val="center"/>
          </w:tcPr>
          <w:p>
            <w:pPr>
              <w:pStyle w:val="null3"/>
              <w:spacing w:before="0" w:after="0"/>
              <w:ind w:left="0" w:right="0"/>
              <w:jc w:val="center"/>
            </w:pPr>
            <w:r>
              <w:rPr>
                <w:sz w:val="24"/>
              </w:rPr>
              <w:t>品牌、规格、标准/主要服务内容</w:t>
            </w:r>
            <w:r>
              <w:rPr>
                <w:sz w:val="24"/>
              </w:rPr>
              <w:t xml:space="preserve"> </w:t>
            </w:r>
          </w:p>
        </w:tc>
        <w:tc>
          <w:tcPr>
            <w:tcW w:type="dxa" w:w="696"/>
            <w:tcBorders>
              <w:top w:val="single" w:color="CCCCCC" w:sz="4"/>
              <w:bottom w:val="single" w:color="CCCCCC" w:sz="8"/>
              <w:right w:val="single" w:color="CCCCCC" w:sz="4"/>
            </w:tcBorders>
            <w:tcMar>
              <w:top w:type="dxa" w:w="37"/>
              <w:left w:type="dxa" w:w="75"/>
              <w:bottom w:type="dxa" w:w="30"/>
              <w:right w:type="dxa" w:w="67"/>
            </w:tcMar>
            <w:vAlign w:val="center"/>
          </w:tcPr>
          <w:p>
            <w:pPr>
              <w:pStyle w:val="null3"/>
              <w:spacing w:before="0" w:after="0"/>
              <w:ind w:left="0" w:right="0"/>
              <w:jc w:val="both"/>
            </w:pPr>
            <w:r>
              <w:rPr>
                <w:sz w:val="24"/>
              </w:rPr>
              <w:t>产地</w:t>
            </w:r>
          </w:p>
        </w:tc>
        <w:tc>
          <w:tcPr>
            <w:tcW w:type="dxa" w:w="470"/>
            <w:tcBorders>
              <w:top w:val="single" w:color="CCCCCC" w:sz="4"/>
              <w:bottom w:val="single" w:color="CCCCCC" w:sz="8"/>
              <w:right w:val="single" w:color="CCCCCC" w:sz="4"/>
            </w:tcBorders>
            <w:tcMar>
              <w:top w:type="dxa" w:w="37"/>
              <w:left w:type="dxa" w:w="75"/>
              <w:bottom w:type="dxa" w:w="30"/>
              <w:right w:type="dxa" w:w="67"/>
            </w:tcMar>
            <w:vAlign w:val="center"/>
          </w:tcPr>
          <w:p>
            <w:pPr>
              <w:pStyle w:val="null3"/>
              <w:spacing w:before="150" w:after="150"/>
              <w:ind w:left="0" w:right="0"/>
              <w:jc w:val="center"/>
            </w:pPr>
            <w:r>
              <w:rPr>
                <w:sz w:val="24"/>
              </w:rPr>
              <w:t>数量</w:t>
            </w:r>
          </w:p>
        </w:tc>
        <w:tc>
          <w:tcPr>
            <w:tcW w:type="dxa" w:w="470"/>
            <w:tcBorders>
              <w:top w:val="single" w:color="CCCCCC" w:sz="4"/>
              <w:bottom w:val="single" w:color="CCCCCC" w:sz="8"/>
              <w:right w:val="single" w:color="CCCCCC" w:sz="4"/>
            </w:tcBorders>
            <w:tcMar>
              <w:top w:type="dxa" w:w="37"/>
              <w:left w:type="dxa" w:w="75"/>
              <w:bottom w:type="dxa" w:w="30"/>
              <w:right w:type="dxa" w:w="67"/>
            </w:tcMar>
            <w:vAlign w:val="center"/>
          </w:tcPr>
          <w:p>
            <w:pPr>
              <w:pStyle w:val="null3"/>
              <w:spacing w:before="0" w:after="0"/>
              <w:ind w:left="0" w:right="0"/>
              <w:jc w:val="center"/>
            </w:pPr>
            <w:r>
              <w:rPr>
                <w:sz w:val="24"/>
              </w:rPr>
              <w:t>单位</w:t>
            </w:r>
          </w:p>
        </w:tc>
        <w:tc>
          <w:tcPr>
            <w:tcW w:type="dxa" w:w="705"/>
            <w:tcBorders>
              <w:top w:val="single" w:color="CCCCCC" w:sz="4"/>
              <w:bottom w:val="single" w:color="CCCCCC" w:sz="8"/>
              <w:right w:val="single" w:color="CCCCCC" w:sz="4"/>
            </w:tcBorders>
            <w:tcMar>
              <w:top w:type="dxa" w:w="37"/>
              <w:left w:type="dxa" w:w="75"/>
              <w:bottom w:type="dxa" w:w="30"/>
              <w:right w:type="dxa" w:w="67"/>
            </w:tcMar>
            <w:vAlign w:val="center"/>
          </w:tcPr>
          <w:p>
            <w:pPr>
              <w:pStyle w:val="null3"/>
              <w:spacing w:before="0" w:after="0"/>
              <w:ind w:left="0" w:right="0"/>
              <w:jc w:val="center"/>
            </w:pPr>
            <w:r>
              <w:rPr>
                <w:sz w:val="24"/>
              </w:rPr>
              <w:t>单价</w:t>
            </w:r>
          </w:p>
          <w:p>
            <w:pPr>
              <w:pStyle w:val="null3"/>
              <w:spacing w:before="0" w:after="0"/>
              <w:ind w:left="0" w:right="0"/>
              <w:jc w:val="center"/>
            </w:pPr>
            <w:r>
              <w:rPr>
                <w:sz w:val="24"/>
              </w:rPr>
              <w:t>（元）</w:t>
            </w:r>
          </w:p>
        </w:tc>
        <w:tc>
          <w:tcPr>
            <w:tcW w:type="dxa" w:w="705"/>
            <w:tcBorders>
              <w:top w:val="single" w:color="CCCCCC" w:sz="4"/>
              <w:bottom w:val="single" w:color="CCCCCC" w:sz="8"/>
              <w:right w:val="single" w:color="CCCCCC" w:sz="4"/>
            </w:tcBorders>
            <w:tcMar>
              <w:top w:type="dxa" w:w="37"/>
              <w:left w:type="dxa" w:w="75"/>
              <w:bottom w:type="dxa" w:w="30"/>
              <w:right w:type="dxa" w:w="67"/>
            </w:tcMar>
            <w:vAlign w:val="center"/>
          </w:tcPr>
          <w:p>
            <w:pPr>
              <w:pStyle w:val="null3"/>
              <w:spacing w:before="0" w:after="0"/>
              <w:ind w:left="0" w:right="0"/>
              <w:jc w:val="center"/>
            </w:pPr>
            <w:r>
              <w:rPr>
                <w:sz w:val="24"/>
              </w:rPr>
              <w:t>金额</w:t>
            </w:r>
          </w:p>
          <w:p>
            <w:pPr>
              <w:pStyle w:val="null3"/>
              <w:spacing w:before="0" w:after="0"/>
              <w:ind w:left="0" w:right="0"/>
              <w:jc w:val="center"/>
            </w:pPr>
            <w:r>
              <w:rPr>
                <w:sz w:val="24"/>
              </w:rPr>
              <w:t>（元）</w:t>
            </w:r>
          </w:p>
        </w:tc>
      </w:tr>
      <w:tr>
        <w:tc>
          <w:tcPr>
            <w:tcW w:type="dxa" w:w="696"/>
            <w:tcBorders>
              <w:left w:val="single" w:color="CCCCCC" w:sz="4"/>
              <w:bottom w:val="single" w:color="CCCCCC" w:sz="4"/>
              <w:right w:val="single" w:color="CCCCCC" w:sz="4"/>
            </w:tcBorders>
            <w:tcMar>
              <w:top w:type="dxa" w:w="45"/>
              <w:left w:type="dxa" w:w="67"/>
              <w:bottom w:type="dxa" w:w="37"/>
              <w:right w:type="dxa" w:w="67"/>
            </w:tcMar>
            <w:vAlign w:val="center"/>
          </w:tcPr>
          <w:p>
            <w:pPr>
              <w:pStyle w:val="null3"/>
              <w:spacing w:before="0" w:after="0"/>
              <w:ind w:left="0" w:right="0"/>
              <w:jc w:val="center"/>
            </w:pPr>
            <w:r>
              <w:rPr>
                <w:sz w:val="24"/>
              </w:rPr>
              <w:t xml:space="preserve"> </w:t>
            </w:r>
            <w:r>
              <w:rPr>
                <w:sz w:val="24"/>
              </w:rPr>
              <w:t>**</w:t>
            </w:r>
          </w:p>
        </w:tc>
        <w:tc>
          <w:tcPr>
            <w:tcW w:type="dxa" w:w="3516"/>
            <w:tcBorders>
              <w:bottom w:val="single" w:color="CCCCCC" w:sz="4"/>
              <w:right w:val="single" w:color="CCCCCC" w:sz="4"/>
            </w:tcBorders>
            <w:tcMar>
              <w:top w:type="dxa" w:w="45"/>
              <w:left w:type="dxa" w:w="75"/>
              <w:bottom w:type="dxa" w:w="37"/>
              <w:right w:type="dxa" w:w="67"/>
            </w:tcMar>
            <w:vAlign w:val="center"/>
          </w:tcPr>
          <w:p>
            <w:pPr>
              <w:pStyle w:val="null3"/>
              <w:spacing w:before="0" w:after="0"/>
              <w:ind w:left="0" w:right="0"/>
              <w:jc w:val="center"/>
            </w:pPr>
            <w:r>
              <w:rPr>
                <w:sz w:val="24"/>
              </w:rPr>
              <w:t>**</w:t>
            </w:r>
            <w:r>
              <w:rPr>
                <w:sz w:val="24"/>
              </w:rPr>
              <w:t xml:space="preserve"> </w:t>
            </w:r>
          </w:p>
        </w:tc>
        <w:tc>
          <w:tcPr>
            <w:tcW w:type="dxa" w:w="696"/>
            <w:tcBorders>
              <w:bottom w:val="single" w:color="CCCCCC" w:sz="4"/>
              <w:right w:val="single" w:color="CCCCCC" w:sz="4"/>
            </w:tcBorders>
            <w:tcMar>
              <w:top w:type="dxa" w:w="45"/>
              <w:left w:type="dxa" w:w="75"/>
              <w:bottom w:type="dxa" w:w="37"/>
              <w:right w:type="dxa" w:w="67"/>
            </w:tcMar>
            <w:vAlign w:val="center"/>
          </w:tcPr>
          <w:p>
            <w:pPr>
              <w:pStyle w:val="null3"/>
              <w:spacing w:before="0" w:after="0"/>
              <w:ind w:left="0" w:right="0"/>
              <w:jc w:val="center"/>
            </w:pPr>
            <w:r>
              <w:rPr>
                <w:sz w:val="24"/>
              </w:rPr>
              <w:t>**</w:t>
            </w:r>
            <w:r>
              <w:rPr>
                <w:sz w:val="24"/>
              </w:rPr>
              <w:t xml:space="preserve"> </w:t>
            </w:r>
          </w:p>
        </w:tc>
        <w:tc>
          <w:tcPr>
            <w:tcW w:type="dxa" w:w="470"/>
            <w:tcBorders>
              <w:bottom w:val="single" w:color="CCCCCC" w:sz="4"/>
              <w:right w:val="single" w:color="CCCCCC" w:sz="4"/>
            </w:tcBorders>
            <w:tcMar>
              <w:top w:type="dxa" w:w="45"/>
              <w:left w:type="dxa" w:w="75"/>
              <w:bottom w:type="dxa" w:w="37"/>
              <w:right w:type="dxa" w:w="67"/>
            </w:tcMar>
            <w:vAlign w:val="center"/>
          </w:tcPr>
          <w:p>
            <w:pPr>
              <w:pStyle w:val="null3"/>
              <w:spacing w:before="0" w:after="0"/>
              <w:ind w:left="0" w:right="0"/>
              <w:jc w:val="center"/>
            </w:pPr>
            <w:r>
              <w:rPr>
                <w:sz w:val="24"/>
              </w:rPr>
              <w:t>**</w:t>
            </w:r>
            <w:r>
              <w:rPr>
                <w:sz w:val="24"/>
              </w:rPr>
              <w:t xml:space="preserve"> </w:t>
            </w:r>
          </w:p>
        </w:tc>
        <w:tc>
          <w:tcPr>
            <w:tcW w:type="dxa" w:w="470"/>
            <w:tcBorders>
              <w:bottom w:val="single" w:color="CCCCCC" w:sz="4"/>
              <w:right w:val="single" w:color="CCCCCC" w:sz="4"/>
            </w:tcBorders>
            <w:tcMar>
              <w:top w:type="dxa" w:w="45"/>
              <w:left w:type="dxa" w:w="75"/>
              <w:bottom w:type="dxa" w:w="37"/>
              <w:right w:type="dxa" w:w="67"/>
            </w:tcMar>
            <w:vAlign w:val="center"/>
          </w:tcPr>
          <w:p>
            <w:pPr>
              <w:pStyle w:val="null3"/>
              <w:spacing w:before="0" w:after="0"/>
              <w:ind w:left="0" w:right="0"/>
              <w:jc w:val="center"/>
            </w:pPr>
            <w:r>
              <w:rPr>
                <w:sz w:val="24"/>
              </w:rPr>
              <w:t>**</w:t>
            </w:r>
            <w:r>
              <w:rPr>
                <w:sz w:val="24"/>
              </w:rPr>
              <w:t xml:space="preserve"> </w:t>
            </w:r>
          </w:p>
        </w:tc>
        <w:tc>
          <w:tcPr>
            <w:tcW w:type="dxa" w:w="705"/>
            <w:tcBorders>
              <w:bottom w:val="single" w:color="CCCCCC" w:sz="4"/>
              <w:right w:val="single" w:color="CCCCCC" w:sz="4"/>
            </w:tcBorders>
            <w:tcMar>
              <w:top w:type="dxa" w:w="45"/>
              <w:left w:type="dxa" w:w="75"/>
              <w:bottom w:type="dxa" w:w="37"/>
              <w:right w:type="dxa" w:w="67"/>
            </w:tcMar>
            <w:vAlign w:val="center"/>
          </w:tcPr>
          <w:p>
            <w:pPr>
              <w:pStyle w:val="null3"/>
              <w:spacing w:before="0" w:after="0"/>
              <w:ind w:left="0" w:right="0"/>
              <w:jc w:val="center"/>
            </w:pPr>
            <w:r>
              <w:rPr>
                <w:sz w:val="24"/>
              </w:rPr>
              <w:t xml:space="preserve"> </w:t>
            </w:r>
            <w:r>
              <w:rPr>
                <w:sz w:val="24"/>
              </w:rPr>
              <w:t>**</w:t>
            </w:r>
          </w:p>
        </w:tc>
        <w:tc>
          <w:tcPr>
            <w:tcW w:type="dxa" w:w="705"/>
            <w:tcBorders>
              <w:bottom w:val="single" w:color="CCCCCC" w:sz="4"/>
              <w:right w:val="single" w:color="CCCCCC" w:sz="4"/>
            </w:tcBorders>
            <w:tcMar>
              <w:top w:type="dxa" w:w="45"/>
              <w:left w:type="dxa" w:w="75"/>
              <w:bottom w:type="dxa" w:w="37"/>
              <w:right w:type="dxa" w:w="67"/>
            </w:tcMar>
            <w:vAlign w:val="center"/>
          </w:tcPr>
          <w:p>
            <w:pPr>
              <w:pStyle w:val="null3"/>
              <w:spacing w:before="0" w:after="0"/>
              <w:ind w:left="0" w:right="0"/>
              <w:jc w:val="center"/>
            </w:pPr>
            <w:r>
              <w:rPr>
                <w:sz w:val="24"/>
              </w:rPr>
              <w:t>**</w:t>
            </w:r>
            <w:r>
              <w:rPr>
                <w:sz w:val="24"/>
              </w:rPr>
              <w:t xml:space="preserve"> </w:t>
            </w:r>
          </w:p>
        </w:tc>
      </w:tr>
      <w:tr>
        <w:tc>
          <w:tcPr>
            <w:tcW w:type="dxa" w:w="696"/>
            <w:tcBorders>
              <w:left w:val="single" w:color="CCCCCC" w:sz="4"/>
              <w:bottom w:val="single" w:color="CCCCCC" w:sz="4"/>
              <w:right w:val="single" w:color="CCCCCC" w:sz="4"/>
            </w:tcBorders>
            <w:tcMar>
              <w:top w:type="dxa" w:w="45"/>
              <w:left w:type="dxa" w:w="67"/>
              <w:bottom w:type="dxa" w:w="37"/>
              <w:right w:type="dxa" w:w="67"/>
            </w:tcMar>
            <w:vAlign w:val="center"/>
          </w:tcPr>
          <w:p>
            <w:pPr>
              <w:pStyle w:val="null3"/>
              <w:spacing w:before="0" w:after="0"/>
              <w:ind w:left="0" w:right="0"/>
              <w:jc w:val="center"/>
            </w:pPr>
            <w:r>
              <w:rPr>
                <w:sz w:val="24"/>
              </w:rPr>
              <w:t xml:space="preserve"> </w:t>
            </w:r>
          </w:p>
        </w:tc>
        <w:tc>
          <w:tcPr>
            <w:tcW w:type="dxa" w:w="3516"/>
            <w:tcBorders>
              <w:bottom w:val="single" w:color="CCCCCC" w:sz="4"/>
              <w:right w:val="single" w:color="CCCCCC" w:sz="4"/>
            </w:tcBorders>
            <w:tcMar>
              <w:top w:type="dxa" w:w="45"/>
              <w:left w:type="dxa" w:w="75"/>
              <w:bottom w:type="dxa" w:w="37"/>
              <w:right w:type="dxa" w:w="67"/>
            </w:tcMar>
            <w:vAlign w:val="center"/>
          </w:tcPr>
          <w:p>
            <w:pPr>
              <w:pStyle w:val="null3"/>
              <w:spacing w:before="0" w:after="0"/>
              <w:ind w:left="0" w:right="0"/>
              <w:jc w:val="center"/>
            </w:pPr>
            <w:r>
              <w:rPr>
                <w:sz w:val="24"/>
              </w:rPr>
              <w:t xml:space="preserve"> </w:t>
            </w:r>
          </w:p>
        </w:tc>
        <w:tc>
          <w:tcPr>
            <w:tcW w:type="dxa" w:w="696"/>
            <w:tcBorders>
              <w:bottom w:val="single" w:color="CCCCCC" w:sz="4"/>
              <w:right w:val="single" w:color="CCCCCC" w:sz="4"/>
            </w:tcBorders>
            <w:tcMar>
              <w:top w:type="dxa" w:w="45"/>
              <w:left w:type="dxa" w:w="75"/>
              <w:bottom w:type="dxa" w:w="37"/>
              <w:right w:type="dxa" w:w="67"/>
            </w:tcMar>
            <w:vAlign w:val="center"/>
          </w:tcPr>
          <w:p>
            <w:pPr>
              <w:pStyle w:val="null3"/>
              <w:spacing w:before="0" w:after="0"/>
              <w:ind w:left="0" w:right="0"/>
              <w:jc w:val="center"/>
            </w:pPr>
            <w:r>
              <w:rPr>
                <w:sz w:val="24"/>
              </w:rPr>
              <w:t xml:space="preserve"> </w:t>
            </w:r>
          </w:p>
        </w:tc>
        <w:tc>
          <w:tcPr>
            <w:tcW w:type="dxa" w:w="470"/>
            <w:tcBorders>
              <w:bottom w:val="single" w:color="CCCCCC" w:sz="4"/>
              <w:right w:val="single" w:color="CCCCCC" w:sz="4"/>
            </w:tcBorders>
            <w:tcMar>
              <w:top w:type="dxa" w:w="45"/>
              <w:left w:type="dxa" w:w="75"/>
              <w:bottom w:type="dxa" w:w="37"/>
              <w:right w:type="dxa" w:w="67"/>
            </w:tcMar>
            <w:vAlign w:val="center"/>
          </w:tcPr>
          <w:p>
            <w:pPr>
              <w:pStyle w:val="null3"/>
              <w:spacing w:before="0" w:after="0"/>
              <w:ind w:left="0" w:right="0"/>
              <w:jc w:val="center"/>
            </w:pPr>
            <w:r>
              <w:rPr>
                <w:sz w:val="24"/>
              </w:rPr>
              <w:t xml:space="preserve"> </w:t>
            </w:r>
          </w:p>
        </w:tc>
        <w:tc>
          <w:tcPr>
            <w:tcW w:type="dxa" w:w="470"/>
            <w:tcBorders>
              <w:bottom w:val="single" w:color="CCCCCC" w:sz="4"/>
              <w:right w:val="single" w:color="CCCCCC" w:sz="4"/>
            </w:tcBorders>
            <w:tcMar>
              <w:top w:type="dxa" w:w="45"/>
              <w:left w:type="dxa" w:w="75"/>
              <w:bottom w:type="dxa" w:w="37"/>
              <w:right w:type="dxa" w:w="67"/>
            </w:tcMar>
            <w:vAlign w:val="center"/>
          </w:tcPr>
          <w:p>
            <w:pPr>
              <w:pStyle w:val="null3"/>
              <w:spacing w:before="0" w:after="0"/>
              <w:ind w:left="0" w:right="0"/>
              <w:jc w:val="center"/>
            </w:pPr>
            <w:r>
              <w:rPr>
                <w:sz w:val="24"/>
              </w:rPr>
              <w:t xml:space="preserve"> </w:t>
            </w:r>
          </w:p>
        </w:tc>
        <w:tc>
          <w:tcPr>
            <w:tcW w:type="dxa" w:w="705"/>
            <w:tcBorders>
              <w:bottom w:val="single" w:color="CCCCCC" w:sz="4"/>
              <w:right w:val="single" w:color="CCCCCC" w:sz="4"/>
            </w:tcBorders>
            <w:tcMar>
              <w:top w:type="dxa" w:w="45"/>
              <w:left w:type="dxa" w:w="75"/>
              <w:bottom w:type="dxa" w:w="37"/>
              <w:right w:type="dxa" w:w="67"/>
            </w:tcMar>
            <w:vAlign w:val="center"/>
          </w:tcPr>
          <w:p>
            <w:pPr>
              <w:pStyle w:val="null3"/>
              <w:spacing w:before="0" w:after="0"/>
              <w:ind w:left="0" w:right="0"/>
              <w:jc w:val="center"/>
            </w:pPr>
            <w:r>
              <w:rPr>
                <w:sz w:val="24"/>
              </w:rPr>
              <w:t xml:space="preserve"> </w:t>
            </w:r>
          </w:p>
        </w:tc>
        <w:tc>
          <w:tcPr>
            <w:tcW w:type="dxa" w:w="705"/>
            <w:tcBorders>
              <w:bottom w:val="single" w:color="CCCCCC" w:sz="4"/>
              <w:right w:val="single" w:color="CCCCCC" w:sz="4"/>
            </w:tcBorders>
            <w:tcMar>
              <w:top w:type="dxa" w:w="45"/>
              <w:left w:type="dxa" w:w="75"/>
              <w:bottom w:type="dxa" w:w="37"/>
              <w:right w:type="dxa" w:w="67"/>
            </w:tcMar>
            <w:vAlign w:val="center"/>
          </w:tcPr>
          <w:p>
            <w:pPr>
              <w:pStyle w:val="null3"/>
              <w:spacing w:before="0" w:after="0"/>
              <w:ind w:left="0" w:right="0"/>
              <w:jc w:val="center"/>
            </w:pPr>
            <w:r>
              <w:rPr>
                <w:sz w:val="24"/>
              </w:rPr>
              <w:t xml:space="preserve"> </w:t>
            </w:r>
          </w:p>
        </w:tc>
      </w:tr>
      <w:tr>
        <w:tc>
          <w:tcPr>
            <w:tcW w:type="dxa" w:w="696"/>
            <w:tcBorders>
              <w:left w:val="single" w:color="CCCCCC" w:sz="4"/>
              <w:bottom w:val="single" w:color="CCCCCC" w:sz="4"/>
              <w:right w:val="single" w:color="CCCCCC" w:sz="4"/>
            </w:tcBorders>
            <w:tcMar>
              <w:top w:type="dxa" w:w="45"/>
              <w:left w:type="dxa" w:w="67"/>
              <w:bottom w:type="dxa" w:w="37"/>
              <w:right w:type="dxa" w:w="67"/>
            </w:tcMar>
            <w:vAlign w:val="center"/>
          </w:tcPr>
          <w:p>
            <w:pPr>
              <w:pStyle w:val="null3"/>
              <w:spacing w:before="0" w:after="0"/>
              <w:ind w:left="0" w:right="0"/>
              <w:jc w:val="center"/>
            </w:pPr>
            <w:r>
              <w:rPr>
                <w:sz w:val="24"/>
              </w:rPr>
              <w:t xml:space="preserve"> </w:t>
            </w:r>
          </w:p>
        </w:tc>
        <w:tc>
          <w:tcPr>
            <w:tcW w:type="dxa" w:w="3516"/>
            <w:tcBorders>
              <w:bottom w:val="single" w:color="CCCCCC" w:sz="4"/>
              <w:right w:val="single" w:color="CCCCCC" w:sz="4"/>
            </w:tcBorders>
            <w:tcMar>
              <w:top w:type="dxa" w:w="45"/>
              <w:left w:type="dxa" w:w="75"/>
              <w:bottom w:type="dxa" w:w="37"/>
              <w:right w:type="dxa" w:w="67"/>
            </w:tcMar>
            <w:vAlign w:val="center"/>
          </w:tcPr>
          <w:p>
            <w:pPr>
              <w:pStyle w:val="null3"/>
              <w:spacing w:before="0" w:after="0"/>
              <w:ind w:left="0" w:right="0"/>
              <w:jc w:val="center"/>
            </w:pPr>
            <w:r>
              <w:rPr>
                <w:sz w:val="24"/>
              </w:rPr>
              <w:t xml:space="preserve"> </w:t>
            </w:r>
          </w:p>
        </w:tc>
        <w:tc>
          <w:tcPr>
            <w:tcW w:type="dxa" w:w="696"/>
            <w:tcBorders>
              <w:bottom w:val="single" w:color="CCCCCC" w:sz="4"/>
              <w:right w:val="single" w:color="CCCCCC" w:sz="4"/>
            </w:tcBorders>
            <w:tcMar>
              <w:top w:type="dxa" w:w="45"/>
              <w:left w:type="dxa" w:w="75"/>
              <w:bottom w:type="dxa" w:w="37"/>
              <w:right w:type="dxa" w:w="67"/>
            </w:tcMar>
            <w:vAlign w:val="center"/>
          </w:tcPr>
          <w:p>
            <w:pPr>
              <w:pStyle w:val="null3"/>
              <w:spacing w:before="0" w:after="0"/>
              <w:ind w:left="0" w:right="0"/>
              <w:jc w:val="center"/>
            </w:pPr>
            <w:r>
              <w:rPr>
                <w:sz w:val="24"/>
              </w:rPr>
              <w:t xml:space="preserve"> </w:t>
            </w:r>
          </w:p>
        </w:tc>
        <w:tc>
          <w:tcPr>
            <w:tcW w:type="dxa" w:w="470"/>
            <w:tcBorders>
              <w:bottom w:val="single" w:color="CCCCCC" w:sz="4"/>
              <w:right w:val="single" w:color="CCCCCC" w:sz="4"/>
            </w:tcBorders>
            <w:tcMar>
              <w:top w:type="dxa" w:w="45"/>
              <w:left w:type="dxa" w:w="75"/>
              <w:bottom w:type="dxa" w:w="37"/>
              <w:right w:type="dxa" w:w="67"/>
            </w:tcMar>
            <w:vAlign w:val="center"/>
          </w:tcPr>
          <w:p>
            <w:pPr>
              <w:pStyle w:val="null3"/>
              <w:spacing w:before="0" w:after="0"/>
              <w:ind w:left="0" w:right="0"/>
              <w:jc w:val="center"/>
            </w:pPr>
            <w:r>
              <w:rPr>
                <w:sz w:val="24"/>
              </w:rPr>
              <w:t xml:space="preserve"> </w:t>
            </w:r>
          </w:p>
        </w:tc>
        <w:tc>
          <w:tcPr>
            <w:tcW w:type="dxa" w:w="470"/>
            <w:tcBorders>
              <w:bottom w:val="single" w:color="CCCCCC" w:sz="4"/>
              <w:right w:val="single" w:color="CCCCCC" w:sz="4"/>
            </w:tcBorders>
            <w:tcMar>
              <w:top w:type="dxa" w:w="45"/>
              <w:left w:type="dxa" w:w="75"/>
              <w:bottom w:type="dxa" w:w="37"/>
              <w:right w:type="dxa" w:w="67"/>
            </w:tcMar>
            <w:vAlign w:val="center"/>
          </w:tcPr>
          <w:p>
            <w:pPr>
              <w:pStyle w:val="null3"/>
              <w:spacing w:before="0" w:after="0"/>
              <w:ind w:left="0" w:right="0"/>
              <w:jc w:val="center"/>
            </w:pPr>
            <w:r>
              <w:rPr>
                <w:sz w:val="24"/>
              </w:rPr>
              <w:t xml:space="preserve"> </w:t>
            </w:r>
          </w:p>
        </w:tc>
        <w:tc>
          <w:tcPr>
            <w:tcW w:type="dxa" w:w="705"/>
            <w:tcBorders>
              <w:bottom w:val="single" w:color="CCCCCC" w:sz="4"/>
              <w:right w:val="single" w:color="CCCCCC" w:sz="4"/>
            </w:tcBorders>
            <w:tcMar>
              <w:top w:type="dxa" w:w="45"/>
              <w:left w:type="dxa" w:w="75"/>
              <w:bottom w:type="dxa" w:w="37"/>
              <w:right w:type="dxa" w:w="67"/>
            </w:tcMar>
            <w:vAlign w:val="center"/>
          </w:tcPr>
          <w:p>
            <w:pPr>
              <w:pStyle w:val="null3"/>
              <w:spacing w:before="0" w:after="0"/>
              <w:ind w:left="0" w:right="0"/>
              <w:jc w:val="center"/>
            </w:pPr>
            <w:r>
              <w:rPr>
                <w:sz w:val="24"/>
              </w:rPr>
              <w:t xml:space="preserve"> </w:t>
            </w:r>
          </w:p>
        </w:tc>
        <w:tc>
          <w:tcPr>
            <w:tcW w:type="dxa" w:w="705"/>
            <w:tcBorders>
              <w:bottom w:val="single" w:color="CCCCCC" w:sz="4"/>
              <w:right w:val="single" w:color="CCCCCC" w:sz="4"/>
            </w:tcBorders>
            <w:tcMar>
              <w:top w:type="dxa" w:w="45"/>
              <w:left w:type="dxa" w:w="75"/>
              <w:bottom w:type="dxa" w:w="37"/>
              <w:right w:type="dxa" w:w="67"/>
            </w:tcMar>
            <w:vAlign w:val="center"/>
          </w:tcPr>
          <w:p>
            <w:pPr>
              <w:pStyle w:val="null3"/>
              <w:spacing w:before="0" w:after="0"/>
              <w:ind w:left="0" w:right="0"/>
              <w:jc w:val="center"/>
            </w:pPr>
            <w:r>
              <w:rPr>
                <w:sz w:val="24"/>
              </w:rPr>
              <w:t xml:space="preserve"> </w:t>
            </w:r>
          </w:p>
        </w:tc>
      </w:tr>
      <w:tr>
        <w:tc>
          <w:tcPr>
            <w:tcW w:type="dxa" w:w="696"/>
            <w:tcBorders>
              <w:left w:val="single" w:color="CCCCCC" w:sz="4"/>
              <w:bottom w:val="single" w:color="CCCCCC" w:sz="4"/>
              <w:right w:val="single" w:color="CCCCCC" w:sz="4"/>
            </w:tcBorders>
            <w:tcMar>
              <w:top w:type="dxa" w:w="45"/>
              <w:left w:type="dxa" w:w="67"/>
              <w:bottom w:type="dxa" w:w="37"/>
              <w:right w:type="dxa" w:w="67"/>
            </w:tcMar>
            <w:vAlign w:val="center"/>
          </w:tcPr>
          <w:p>
            <w:pPr>
              <w:pStyle w:val="null3"/>
              <w:spacing w:before="0" w:after="0"/>
              <w:ind w:left="0" w:right="0"/>
              <w:jc w:val="center"/>
            </w:pPr>
            <w:r>
              <w:rPr>
                <w:sz w:val="24"/>
              </w:rPr>
              <w:t xml:space="preserve"> </w:t>
            </w:r>
          </w:p>
        </w:tc>
        <w:tc>
          <w:tcPr>
            <w:tcW w:type="dxa" w:w="3516"/>
            <w:tcBorders>
              <w:bottom w:val="single" w:color="CCCCCC" w:sz="4"/>
              <w:right w:val="single" w:color="CCCCCC" w:sz="4"/>
            </w:tcBorders>
            <w:tcMar>
              <w:top w:type="dxa" w:w="45"/>
              <w:left w:type="dxa" w:w="75"/>
              <w:bottom w:type="dxa" w:w="37"/>
              <w:right w:type="dxa" w:w="67"/>
            </w:tcMar>
            <w:vAlign w:val="center"/>
          </w:tcPr>
          <w:p>
            <w:pPr>
              <w:pStyle w:val="null3"/>
              <w:spacing w:before="0" w:after="0"/>
              <w:ind w:left="0" w:right="0"/>
              <w:jc w:val="center"/>
            </w:pPr>
            <w:r>
              <w:rPr>
                <w:sz w:val="24"/>
              </w:rPr>
              <w:t xml:space="preserve"> </w:t>
            </w:r>
          </w:p>
        </w:tc>
        <w:tc>
          <w:tcPr>
            <w:tcW w:type="dxa" w:w="696"/>
            <w:tcBorders>
              <w:bottom w:val="single" w:color="CCCCCC" w:sz="4"/>
              <w:right w:val="single" w:color="CCCCCC" w:sz="4"/>
            </w:tcBorders>
            <w:tcMar>
              <w:top w:type="dxa" w:w="45"/>
              <w:left w:type="dxa" w:w="75"/>
              <w:bottom w:type="dxa" w:w="37"/>
              <w:right w:type="dxa" w:w="67"/>
            </w:tcMar>
            <w:vAlign w:val="center"/>
          </w:tcPr>
          <w:p>
            <w:pPr>
              <w:pStyle w:val="null3"/>
              <w:spacing w:before="0" w:after="0"/>
              <w:ind w:left="0" w:right="0"/>
              <w:jc w:val="center"/>
            </w:pPr>
            <w:r>
              <w:rPr>
                <w:sz w:val="24"/>
              </w:rPr>
              <w:t xml:space="preserve"> </w:t>
            </w:r>
          </w:p>
        </w:tc>
        <w:tc>
          <w:tcPr>
            <w:tcW w:type="dxa" w:w="470"/>
            <w:tcBorders>
              <w:bottom w:val="single" w:color="CCCCCC" w:sz="4"/>
              <w:right w:val="single" w:color="CCCCCC" w:sz="4"/>
            </w:tcBorders>
            <w:tcMar>
              <w:top w:type="dxa" w:w="45"/>
              <w:left w:type="dxa" w:w="75"/>
              <w:bottom w:type="dxa" w:w="37"/>
              <w:right w:type="dxa" w:w="67"/>
            </w:tcMar>
            <w:vAlign w:val="center"/>
          </w:tcPr>
          <w:p>
            <w:pPr>
              <w:pStyle w:val="null3"/>
              <w:spacing w:before="0" w:after="0"/>
              <w:ind w:left="0" w:right="0"/>
              <w:jc w:val="center"/>
            </w:pPr>
            <w:r>
              <w:rPr>
                <w:sz w:val="24"/>
              </w:rPr>
              <w:t xml:space="preserve"> </w:t>
            </w:r>
          </w:p>
        </w:tc>
        <w:tc>
          <w:tcPr>
            <w:tcW w:type="dxa" w:w="470"/>
            <w:tcBorders>
              <w:bottom w:val="single" w:color="CCCCCC" w:sz="4"/>
              <w:right w:val="single" w:color="CCCCCC" w:sz="4"/>
            </w:tcBorders>
            <w:tcMar>
              <w:top w:type="dxa" w:w="45"/>
              <w:left w:type="dxa" w:w="75"/>
              <w:bottom w:type="dxa" w:w="37"/>
              <w:right w:type="dxa" w:w="67"/>
            </w:tcMar>
            <w:vAlign w:val="center"/>
          </w:tcPr>
          <w:p>
            <w:pPr>
              <w:pStyle w:val="null3"/>
              <w:spacing w:before="0" w:after="0"/>
              <w:ind w:left="0" w:right="0"/>
              <w:jc w:val="center"/>
            </w:pPr>
            <w:r>
              <w:rPr>
                <w:sz w:val="24"/>
              </w:rPr>
              <w:t xml:space="preserve"> </w:t>
            </w:r>
          </w:p>
        </w:tc>
        <w:tc>
          <w:tcPr>
            <w:tcW w:type="dxa" w:w="705"/>
            <w:tcBorders>
              <w:bottom w:val="single" w:color="CCCCCC" w:sz="4"/>
              <w:right w:val="single" w:color="CCCCCC" w:sz="4"/>
            </w:tcBorders>
            <w:tcMar>
              <w:top w:type="dxa" w:w="45"/>
              <w:left w:type="dxa" w:w="75"/>
              <w:bottom w:type="dxa" w:w="37"/>
              <w:right w:type="dxa" w:w="67"/>
            </w:tcMar>
            <w:vAlign w:val="center"/>
          </w:tcPr>
          <w:p>
            <w:pPr>
              <w:pStyle w:val="null3"/>
              <w:spacing w:before="0" w:after="0"/>
              <w:ind w:left="0" w:right="0"/>
              <w:jc w:val="center"/>
            </w:pPr>
            <w:r>
              <w:rPr>
                <w:sz w:val="24"/>
              </w:rPr>
              <w:t xml:space="preserve"> </w:t>
            </w:r>
          </w:p>
        </w:tc>
        <w:tc>
          <w:tcPr>
            <w:tcW w:type="dxa" w:w="705"/>
            <w:tcBorders>
              <w:bottom w:val="single" w:color="CCCCCC" w:sz="4"/>
              <w:right w:val="single" w:color="CCCCCC" w:sz="4"/>
            </w:tcBorders>
            <w:tcMar>
              <w:top w:type="dxa" w:w="45"/>
              <w:left w:type="dxa" w:w="75"/>
              <w:bottom w:type="dxa" w:w="37"/>
              <w:right w:type="dxa" w:w="67"/>
            </w:tcMar>
            <w:vAlign w:val="center"/>
          </w:tcPr>
          <w:p>
            <w:pPr>
              <w:pStyle w:val="null3"/>
              <w:spacing w:before="0" w:after="0"/>
              <w:ind w:left="0" w:right="0"/>
              <w:jc w:val="center"/>
            </w:pPr>
            <w:r>
              <w:rPr>
                <w:sz w:val="24"/>
              </w:rPr>
              <w:t xml:space="preserve"> </w:t>
            </w:r>
          </w:p>
        </w:tc>
      </w:tr>
      <w:tr>
        <w:tc>
          <w:tcPr>
            <w:tcW w:type="dxa" w:w="696"/>
            <w:tcBorders>
              <w:left w:val="single" w:color="CCCCCC" w:sz="4"/>
              <w:bottom w:val="single" w:color="CCCCCC" w:sz="4"/>
              <w:right w:val="single" w:color="CCCCCC" w:sz="4"/>
            </w:tcBorders>
            <w:tcMar>
              <w:top w:type="dxa" w:w="45"/>
              <w:left w:type="dxa" w:w="67"/>
              <w:bottom w:type="dxa" w:w="37"/>
              <w:right w:type="dxa" w:w="67"/>
            </w:tcMar>
            <w:vAlign w:val="center"/>
          </w:tcPr>
          <w:p>
            <w:pPr>
              <w:pStyle w:val="null3"/>
              <w:spacing w:before="0" w:after="0"/>
              <w:ind w:left="0" w:right="0"/>
              <w:jc w:val="center"/>
            </w:pPr>
            <w:r>
              <w:rPr>
                <w:sz w:val="24"/>
              </w:rPr>
              <w:t xml:space="preserve"> </w:t>
            </w:r>
          </w:p>
        </w:tc>
        <w:tc>
          <w:tcPr>
            <w:tcW w:type="dxa" w:w="3516"/>
            <w:tcBorders>
              <w:bottom w:val="single" w:color="CCCCCC" w:sz="4"/>
              <w:right w:val="single" w:color="CCCCCC" w:sz="4"/>
            </w:tcBorders>
            <w:tcMar>
              <w:top w:type="dxa" w:w="45"/>
              <w:left w:type="dxa" w:w="75"/>
              <w:bottom w:type="dxa" w:w="37"/>
              <w:right w:type="dxa" w:w="67"/>
            </w:tcMar>
            <w:vAlign w:val="center"/>
          </w:tcPr>
          <w:p>
            <w:pPr>
              <w:pStyle w:val="null3"/>
              <w:spacing w:before="0" w:after="0"/>
              <w:ind w:left="0" w:right="0"/>
              <w:jc w:val="center"/>
            </w:pPr>
            <w:r>
              <w:rPr>
                <w:sz w:val="24"/>
              </w:rPr>
              <w:t xml:space="preserve"> </w:t>
            </w:r>
          </w:p>
        </w:tc>
        <w:tc>
          <w:tcPr>
            <w:tcW w:type="dxa" w:w="696"/>
            <w:tcBorders>
              <w:bottom w:val="single" w:color="CCCCCC" w:sz="4"/>
              <w:right w:val="single" w:color="CCCCCC" w:sz="4"/>
            </w:tcBorders>
            <w:tcMar>
              <w:top w:type="dxa" w:w="45"/>
              <w:left w:type="dxa" w:w="75"/>
              <w:bottom w:type="dxa" w:w="37"/>
              <w:right w:type="dxa" w:w="67"/>
            </w:tcMar>
            <w:vAlign w:val="center"/>
          </w:tcPr>
          <w:p>
            <w:pPr>
              <w:pStyle w:val="null3"/>
              <w:spacing w:before="0" w:after="0"/>
              <w:ind w:left="0" w:right="0"/>
              <w:jc w:val="center"/>
            </w:pPr>
            <w:r>
              <w:rPr>
                <w:sz w:val="24"/>
              </w:rPr>
              <w:t xml:space="preserve"> </w:t>
            </w:r>
          </w:p>
        </w:tc>
        <w:tc>
          <w:tcPr>
            <w:tcW w:type="dxa" w:w="470"/>
            <w:tcBorders>
              <w:bottom w:val="single" w:color="CCCCCC" w:sz="4"/>
              <w:right w:val="single" w:color="CCCCCC" w:sz="4"/>
            </w:tcBorders>
            <w:tcMar>
              <w:top w:type="dxa" w:w="45"/>
              <w:left w:type="dxa" w:w="75"/>
              <w:bottom w:type="dxa" w:w="37"/>
              <w:right w:type="dxa" w:w="67"/>
            </w:tcMar>
            <w:vAlign w:val="center"/>
          </w:tcPr>
          <w:p>
            <w:pPr>
              <w:pStyle w:val="null3"/>
              <w:spacing w:before="0" w:after="0"/>
              <w:ind w:left="0" w:right="0"/>
              <w:jc w:val="center"/>
            </w:pPr>
            <w:r>
              <w:rPr>
                <w:sz w:val="24"/>
              </w:rPr>
              <w:t xml:space="preserve"> </w:t>
            </w:r>
          </w:p>
        </w:tc>
        <w:tc>
          <w:tcPr>
            <w:tcW w:type="dxa" w:w="470"/>
            <w:tcBorders>
              <w:bottom w:val="single" w:color="CCCCCC" w:sz="4"/>
              <w:right w:val="single" w:color="CCCCCC" w:sz="4"/>
            </w:tcBorders>
            <w:tcMar>
              <w:top w:type="dxa" w:w="45"/>
              <w:left w:type="dxa" w:w="75"/>
              <w:bottom w:type="dxa" w:w="37"/>
              <w:right w:type="dxa" w:w="67"/>
            </w:tcMar>
            <w:vAlign w:val="center"/>
          </w:tcPr>
          <w:p>
            <w:pPr>
              <w:pStyle w:val="null3"/>
              <w:spacing w:before="0" w:after="0"/>
              <w:ind w:left="0" w:right="0"/>
              <w:jc w:val="center"/>
            </w:pPr>
            <w:r>
              <w:rPr>
                <w:sz w:val="24"/>
              </w:rPr>
              <w:t xml:space="preserve"> </w:t>
            </w:r>
          </w:p>
        </w:tc>
        <w:tc>
          <w:tcPr>
            <w:tcW w:type="dxa" w:w="705"/>
            <w:tcBorders>
              <w:bottom w:val="single" w:color="CCCCCC" w:sz="4"/>
              <w:right w:val="single" w:color="CCCCCC" w:sz="4"/>
            </w:tcBorders>
            <w:tcMar>
              <w:top w:type="dxa" w:w="45"/>
              <w:left w:type="dxa" w:w="75"/>
              <w:bottom w:type="dxa" w:w="37"/>
              <w:right w:type="dxa" w:w="67"/>
            </w:tcMar>
            <w:vAlign w:val="center"/>
          </w:tcPr>
          <w:p>
            <w:pPr>
              <w:pStyle w:val="null3"/>
              <w:spacing w:before="0" w:after="0"/>
              <w:ind w:left="0" w:right="0"/>
              <w:jc w:val="center"/>
            </w:pPr>
            <w:r>
              <w:rPr>
                <w:sz w:val="24"/>
              </w:rPr>
              <w:t xml:space="preserve"> </w:t>
            </w:r>
          </w:p>
        </w:tc>
        <w:tc>
          <w:tcPr>
            <w:tcW w:type="dxa" w:w="705"/>
            <w:tcBorders>
              <w:bottom w:val="single" w:color="CCCCCC" w:sz="4"/>
              <w:right w:val="single" w:color="CCCCCC" w:sz="4"/>
            </w:tcBorders>
            <w:tcMar>
              <w:top w:type="dxa" w:w="45"/>
              <w:left w:type="dxa" w:w="75"/>
              <w:bottom w:type="dxa" w:w="37"/>
              <w:right w:type="dxa" w:w="67"/>
            </w:tcMar>
            <w:vAlign w:val="center"/>
          </w:tcPr>
          <w:p>
            <w:pPr>
              <w:pStyle w:val="null3"/>
              <w:spacing w:before="0" w:after="0"/>
              <w:ind w:left="0" w:right="0"/>
              <w:jc w:val="center"/>
            </w:pPr>
            <w:r>
              <w:rPr>
                <w:sz w:val="24"/>
              </w:rPr>
              <w:t xml:space="preserve"> </w:t>
            </w:r>
          </w:p>
        </w:tc>
      </w:tr>
      <w:tr>
        <w:tc>
          <w:tcPr>
            <w:tcW w:type="dxa" w:w="6553"/>
            <w:gridSpan w:val="6"/>
            <w:tcBorders>
              <w:left w:val="single" w:color="CCCCCC" w:sz="4"/>
              <w:bottom w:val="single" w:color="CCCCCC" w:sz="4"/>
              <w:right w:val="single" w:color="CCCCCC" w:sz="4"/>
            </w:tcBorders>
            <w:tcMar>
              <w:top w:type="dxa" w:w="45"/>
              <w:left w:type="dxa" w:w="67"/>
              <w:bottom w:type="dxa" w:w="37"/>
              <w:right w:type="dxa" w:w="67"/>
            </w:tcMar>
            <w:vAlign w:val="center"/>
          </w:tcPr>
          <w:p>
            <w:pPr>
              <w:pStyle w:val="null3"/>
              <w:spacing w:before="150" w:after="150"/>
              <w:ind w:left="0" w:right="0"/>
              <w:jc w:val="center"/>
            </w:pPr>
            <w:r>
              <w:rPr>
                <w:sz w:val="24"/>
              </w:rPr>
              <w:t>合计：人民币大写：**元整</w:t>
            </w:r>
          </w:p>
        </w:tc>
        <w:tc>
          <w:tcPr>
            <w:tcW w:type="dxa" w:w="705"/>
            <w:tcBorders>
              <w:bottom w:val="single" w:color="CCCCCC" w:sz="4"/>
              <w:right w:val="single" w:color="CCCCCC" w:sz="4"/>
            </w:tcBorders>
            <w:tcMar>
              <w:top w:type="dxa" w:w="45"/>
              <w:left w:type="dxa" w:w="75"/>
              <w:bottom w:type="dxa" w:w="37"/>
              <w:right w:type="dxa" w:w="67"/>
            </w:tcMar>
            <w:vAlign w:val="center"/>
          </w:tcPr>
          <w:p>
            <w:pPr>
              <w:pStyle w:val="null3"/>
              <w:spacing w:before="0" w:after="0"/>
              <w:ind w:left="0" w:right="0"/>
              <w:jc w:val="center"/>
            </w:pPr>
            <w:r>
              <w:rPr>
                <w:sz w:val="24"/>
              </w:rPr>
              <w:t>￥：**</w:t>
            </w:r>
          </w:p>
        </w:tc>
      </w:tr>
      <w:tr>
        <w:tc>
          <w:tcPr>
            <w:tcW w:type="dxa" w:w="696"/>
            <w:tcBorders>
              <w:top w:val="none" w:color="000000" w:sz="4"/>
              <w:left w:val="none" w:color="000000" w:sz="4"/>
              <w:bottom w:val="none" w:color="000000" w:sz="4"/>
              <w:right w:val="none" w:color="000000" w:sz="4"/>
            </w:tcBorders>
          </w:tcPr>
          <w:p>
            <w:pPr>
              <w:pStyle w:val="null3"/>
              <w:jc w:val="center"/>
            </w:pPr>
            <w:r>
              <w:rPr/>
              <w:t xml:space="preserve"> </w:t>
            </w:r>
          </w:p>
        </w:tc>
        <w:tc>
          <w:tcPr>
            <w:tcW w:type="dxa" w:w="3516"/>
            <w:tcBorders>
              <w:top w:val="none" w:color="000000" w:sz="4"/>
              <w:left w:val="none" w:color="000000" w:sz="4"/>
              <w:bottom w:val="none" w:color="000000" w:sz="4"/>
              <w:right w:val="none" w:color="000000" w:sz="4"/>
            </w:tcBorders>
          </w:tcPr>
          <w:p>
            <w:pPr>
              <w:pStyle w:val="null3"/>
              <w:jc w:val="center"/>
            </w:pPr>
            <w:r>
              <w:rPr/>
              <w:t xml:space="preserve"> </w:t>
            </w:r>
          </w:p>
        </w:tc>
        <w:tc>
          <w:tcPr>
            <w:tcW w:type="dxa" w:w="696"/>
            <w:tcBorders>
              <w:top w:val="none" w:color="000000" w:sz="4"/>
              <w:left w:val="none" w:color="000000" w:sz="4"/>
              <w:bottom w:val="none" w:color="000000" w:sz="4"/>
              <w:right w:val="none" w:color="000000" w:sz="4"/>
            </w:tcBorders>
          </w:tcPr>
          <w:p>
            <w:pPr>
              <w:pStyle w:val="null3"/>
              <w:jc w:val="center"/>
            </w:pPr>
            <w:r>
              <w:rPr/>
              <w:t xml:space="preserve"> </w:t>
            </w:r>
          </w:p>
        </w:tc>
        <w:tc>
          <w:tcPr>
            <w:tcW w:type="dxa" w:w="470"/>
            <w:tcBorders>
              <w:top w:val="none" w:color="000000" w:sz="4"/>
              <w:left w:val="none" w:color="000000" w:sz="4"/>
              <w:bottom w:val="none" w:color="000000" w:sz="4"/>
              <w:right w:val="none" w:color="000000" w:sz="4"/>
            </w:tcBorders>
          </w:tcPr>
          <w:p>
            <w:pPr>
              <w:pStyle w:val="null3"/>
              <w:jc w:val="center"/>
            </w:pPr>
            <w:r>
              <w:rPr/>
              <w:t xml:space="preserve"> </w:t>
            </w:r>
          </w:p>
        </w:tc>
        <w:tc>
          <w:tcPr>
            <w:tcW w:type="dxa" w:w="470"/>
            <w:tcBorders>
              <w:top w:val="none" w:color="000000" w:sz="4"/>
              <w:left w:val="none" w:color="000000" w:sz="4"/>
              <w:bottom w:val="none" w:color="000000" w:sz="4"/>
              <w:right w:val="none" w:color="000000" w:sz="4"/>
            </w:tcBorders>
          </w:tcPr>
          <w:p>
            <w:pPr>
              <w:pStyle w:val="null3"/>
              <w:jc w:val="center"/>
            </w:pPr>
            <w:r>
              <w:rPr/>
              <w:t xml:space="preserve"> </w:t>
            </w:r>
          </w:p>
        </w:tc>
        <w:tc>
          <w:tcPr>
            <w:tcW w:type="dxa" w:w="705"/>
            <w:tcBorders>
              <w:top w:val="none" w:color="000000" w:sz="4"/>
              <w:left w:val="none" w:color="000000" w:sz="4"/>
              <w:bottom w:val="none" w:color="000000" w:sz="4"/>
              <w:right w:val="none" w:color="000000" w:sz="4"/>
            </w:tcBorders>
          </w:tcPr>
          <w:p>
            <w:pPr>
              <w:pStyle w:val="null3"/>
              <w:jc w:val="center"/>
            </w:pPr>
            <w:r>
              <w:rPr/>
              <w:t xml:space="preserve"> </w:t>
            </w:r>
          </w:p>
        </w:tc>
        <w:tc>
          <w:tcPr>
            <w:tcW w:type="dxa" w:w="705"/>
            <w:tcBorders>
              <w:top w:val="none" w:color="000000" w:sz="4"/>
              <w:left w:val="none" w:color="000000" w:sz="4"/>
              <w:bottom w:val="none" w:color="000000" w:sz="4"/>
              <w:right w:val="none" w:color="000000" w:sz="4"/>
            </w:tcBorders>
          </w:tcPr>
          <w:p>
            <w:pPr>
              <w:pStyle w:val="null3"/>
              <w:jc w:val="center"/>
            </w:pPr>
            <w:r>
              <w:rPr/>
              <w:t xml:space="preserve"> </w:t>
            </w:r>
          </w:p>
        </w:tc>
      </w:tr>
    </w:tbl>
    <w:p>
      <w:pPr>
        <w:pStyle w:val="null3"/>
        <w:spacing w:before="0" w:after="0"/>
        <w:ind w:left="0" w:right="0"/>
        <w:jc w:val="both"/>
      </w:pPr>
      <w:r>
        <w:rPr>
          <w:sz w:val="32"/>
        </w:rPr>
        <w:t xml:space="preserve"> </w:t>
      </w:r>
    </w:p>
    <w:p>
      <w:pPr>
        <w:pStyle w:val="null3"/>
        <w:spacing w:before="0" w:after="0" w:lineRule="auto" w:line="360"/>
        <w:ind w:left="0" w:right="0" w:firstLine="400"/>
        <w:jc w:val="both"/>
      </w:pPr>
      <w:r>
        <w:rPr>
          <w:sz w:val="27"/>
        </w:rPr>
        <w:t>合同总额包括乙方设计、安装、随机零配件、标配工具、运输保险、调试、培训、质保期服务、各项税费及合同实施过程中不可预见费用等。</w:t>
      </w:r>
    </w:p>
    <w:p>
      <w:pPr>
        <w:pStyle w:val="null3"/>
        <w:spacing w:before="0" w:after="0" w:lineRule="auto" w:line="360"/>
        <w:ind w:left="0" w:right="0" w:firstLine="400"/>
        <w:jc w:val="both"/>
      </w:pPr>
      <w:r>
        <w:rPr>
          <w:sz w:val="27"/>
        </w:rPr>
        <w:t>注：设备名称内容必须与响应文件中设备名称内容一致。</w:t>
      </w:r>
    </w:p>
    <w:p>
      <w:pPr>
        <w:pStyle w:val="null3"/>
        <w:spacing w:before="0" w:after="0" w:lineRule="auto" w:line="360"/>
        <w:ind w:left="1092" w:right="0"/>
        <w:jc w:val="both"/>
      </w:pPr>
      <w:r>
        <w:rPr>
          <w:sz w:val="27"/>
          <w:b/>
        </w:rPr>
        <w:t>二、</w:t>
      </w:r>
      <w:r>
        <w:rPr>
          <w:sz w:val="27"/>
          <w:b/>
        </w:rPr>
        <w:t>合同金额</w:t>
      </w:r>
    </w:p>
    <w:p>
      <w:pPr>
        <w:pStyle w:val="null3"/>
        <w:spacing w:before="0" w:after="0" w:lineRule="auto" w:line="360"/>
        <w:ind w:left="0" w:right="0"/>
        <w:jc w:val="both"/>
      </w:pPr>
      <w:r>
        <w:rPr>
          <w:sz w:val="27"/>
        </w:rPr>
        <w:t>合同金额为（大写）：_________________元（￥_______________元）人民币。</w:t>
      </w:r>
    </w:p>
    <w:p>
      <w:pPr>
        <w:pStyle w:val="null3"/>
        <w:spacing w:before="0" w:after="0" w:lineRule="auto" w:line="360"/>
        <w:ind w:left="1092" w:right="0"/>
        <w:jc w:val="both"/>
      </w:pPr>
      <w:r>
        <w:rPr>
          <w:sz w:val="27"/>
          <w:b/>
        </w:rPr>
        <w:t>三、</w:t>
      </w:r>
      <w:r>
        <w:rPr>
          <w:sz w:val="27"/>
        </w:rPr>
        <w:t xml:space="preserve"> </w:t>
      </w:r>
      <w:r>
        <w:rPr>
          <w:sz w:val="27"/>
          <w:b/>
        </w:rPr>
        <w:t>升级改造</w:t>
      </w:r>
      <w:r>
        <w:rPr>
          <w:sz w:val="27"/>
          <w:b/>
        </w:rPr>
        <w:t>设备要求</w:t>
      </w:r>
    </w:p>
    <w:p>
      <w:pPr>
        <w:pStyle w:val="null3"/>
        <w:spacing w:before="0" w:after="0" w:lineRule="auto" w:line="360"/>
        <w:ind w:left="0" w:right="0"/>
        <w:jc w:val="both"/>
      </w:pPr>
      <w:r>
        <w:rPr>
          <w:sz w:val="27"/>
        </w:rPr>
        <w:t>升级改造设备为原制造商制造的全新产品，整机无污染，无侵权行为、表面无划损、无任何缺陷隐患，在中国境内可依常规安全合法使用。</w:t>
      </w:r>
    </w:p>
    <w:p>
      <w:pPr>
        <w:pStyle w:val="null3"/>
        <w:spacing w:before="0" w:after="0" w:lineRule="auto" w:line="360"/>
        <w:ind w:left="1092" w:right="0"/>
        <w:jc w:val="both"/>
      </w:pPr>
      <w:r>
        <w:rPr>
          <w:sz w:val="27"/>
          <w:b/>
        </w:rPr>
        <w:t>四、</w:t>
      </w:r>
      <w:r>
        <w:rPr>
          <w:sz w:val="27"/>
        </w:rPr>
        <w:t xml:space="preserve"> </w:t>
      </w:r>
      <w:r>
        <w:rPr>
          <w:sz w:val="27"/>
          <w:b/>
        </w:rPr>
        <w:t>合同履约</w:t>
      </w:r>
      <w:r>
        <w:rPr>
          <w:sz w:val="27"/>
          <w:b/>
        </w:rPr>
        <w:t>期、交付方式及交付地点</w:t>
      </w:r>
    </w:p>
    <w:p>
      <w:pPr>
        <w:pStyle w:val="null3"/>
        <w:spacing w:before="0" w:after="0" w:lineRule="auto" w:line="360"/>
        <w:ind w:left="0" w:right="0"/>
        <w:jc w:val="both"/>
      </w:pPr>
      <w:r>
        <w:rPr>
          <w:sz w:val="27"/>
        </w:rPr>
        <w:t xml:space="preserve">        </w:t>
      </w:r>
      <w:r>
        <w:rPr>
          <w:sz w:val="27"/>
        </w:rPr>
        <w:t>1.</w:t>
      </w:r>
      <w:r>
        <w:rPr>
          <w:sz w:val="27"/>
        </w:rPr>
        <w:t>合同履约期：</w:t>
      </w:r>
    </w:p>
    <w:p>
      <w:pPr>
        <w:pStyle w:val="null3"/>
        <w:spacing w:before="0" w:after="0" w:lineRule="auto" w:line="360"/>
        <w:ind w:left="0" w:right="0"/>
        <w:jc w:val="both"/>
      </w:pPr>
      <w:r>
        <w:rPr>
          <w:sz w:val="27"/>
        </w:rPr>
        <w:t xml:space="preserve">        </w:t>
      </w:r>
      <w:r>
        <w:rPr>
          <w:sz w:val="27"/>
        </w:rPr>
        <w:t>2.交</w:t>
      </w:r>
      <w:r>
        <w:rPr>
          <w:sz w:val="27"/>
        </w:rPr>
        <w:t>付方式：</w:t>
      </w:r>
    </w:p>
    <w:p>
      <w:pPr>
        <w:pStyle w:val="null3"/>
        <w:spacing w:before="0" w:after="0" w:lineRule="auto" w:line="360"/>
        <w:ind w:left="0" w:right="0"/>
        <w:jc w:val="both"/>
      </w:pPr>
      <w:r>
        <w:rPr>
          <w:sz w:val="27"/>
        </w:rPr>
        <w:t xml:space="preserve">        </w:t>
      </w:r>
      <w:r>
        <w:rPr>
          <w:sz w:val="27"/>
        </w:rPr>
        <w:t>3.交付</w:t>
      </w:r>
      <w:r>
        <w:rPr>
          <w:sz w:val="27"/>
        </w:rPr>
        <w:t>地点：</w:t>
      </w:r>
    </w:p>
    <w:p>
      <w:pPr>
        <w:pStyle w:val="null3"/>
        <w:spacing w:before="0" w:after="0" w:lineRule="auto" w:line="360"/>
        <w:ind w:left="1092" w:right="0"/>
        <w:jc w:val="both"/>
      </w:pPr>
      <w:r>
        <w:rPr>
          <w:sz w:val="27"/>
          <w:b/>
        </w:rPr>
        <w:t>五、</w:t>
      </w:r>
      <w:r>
        <w:rPr>
          <w:sz w:val="27"/>
          <w:b/>
        </w:rPr>
        <w:t>付款方式</w:t>
      </w:r>
    </w:p>
    <w:p>
      <w:pPr>
        <w:pStyle w:val="null3"/>
        <w:spacing w:before="0" w:after="0" w:lineRule="auto" w:line="360"/>
        <w:ind w:left="0" w:right="0"/>
        <w:jc w:val="both"/>
      </w:pPr>
      <w:r>
        <w:rPr>
          <w:sz w:val="27"/>
        </w:rPr>
        <w:t>1.乙方与甲方签订合同生效后的30个工作日内，乙方需向甲方提出正式申请，请求按照合同规定支付合同金额的20％作为进度款（每年度不超80万元）。</w:t>
      </w:r>
    </w:p>
    <w:p>
      <w:pPr>
        <w:pStyle w:val="null3"/>
      </w:pPr>
      <w:r>
        <w:rPr>
          <w:sz w:val="27"/>
        </w:rPr>
        <w:t>2.项目通过综合验收，乙方请求按照合同规定支付合同金额的20％作为进度款（每年度不超80万元）。</w:t>
      </w:r>
    </w:p>
    <w:p>
      <w:pPr>
        <w:pStyle w:val="null3"/>
      </w:pPr>
      <w:r>
        <w:rPr>
          <w:sz w:val="27"/>
        </w:rPr>
        <w:t>3.乙方按照合同完成项目建设并通过综合验收，乙方需向甲方提出正式申请和服务期承诺函，结合考核情况，后续维护期（3年）每年度支付合同20%作为作为项目进度款（每年度不超80万元）。</w:t>
      </w:r>
    </w:p>
    <w:p>
      <w:pPr>
        <w:pStyle w:val="null3"/>
        <w:spacing w:before="0" w:after="0" w:lineRule="auto" w:line="360"/>
        <w:ind w:left="0" w:right="0"/>
        <w:jc w:val="both"/>
      </w:pPr>
      <w:r>
        <w:rPr>
          <w:sz w:val="27"/>
          <w:b/>
        </w:rPr>
        <w:t>六、</w:t>
      </w:r>
      <w:r>
        <w:rPr>
          <w:sz w:val="27"/>
          <w:b/>
        </w:rPr>
        <w:t>质保期及售后服务要求</w:t>
      </w:r>
    </w:p>
    <w:p>
      <w:pPr>
        <w:pStyle w:val="null3"/>
        <w:ind w:right="45" w:firstLine="420"/>
        <w:jc w:val="both"/>
      </w:pPr>
      <w:r>
        <w:rPr>
          <w:sz w:val="27"/>
        </w:rPr>
        <w:t>1.本项目的主要设备在非人为因素造成故障的情况下质量保证期（简称“质保期”）为3年，质保期自项目通过验收之日起计算，质保期内乙方对所供设备实行免费包修、包换、包退、包维护保养。（如技术参数中有具体要求，按具体要求执行）</w:t>
      </w:r>
    </w:p>
    <w:p>
      <w:pPr>
        <w:pStyle w:val="null3"/>
      </w:pPr>
      <w:r>
        <w:rPr>
          <w:sz w:val="27"/>
        </w:rPr>
        <w:t>2.乙方提供终身维修服务，在质保期外发生的质量问题，由乙方负责解决，甲方应支付相应的费用。提供7×24小时的实时技术支持，1小时内响应，4小时内到达现场，48小时内处理完毕。若在48小时内仍未能有效解决，乙方须免费提供相同功能档次的设备予甲方临时使用。</w:t>
      </w:r>
    </w:p>
    <w:p>
      <w:pPr>
        <w:pStyle w:val="null3"/>
      </w:pPr>
      <w:r>
        <w:rPr>
          <w:sz w:val="27"/>
        </w:rPr>
        <w:t>3.提供应用软件系统扩充，升级方面的技术支持服务。</w:t>
      </w:r>
    </w:p>
    <w:p>
      <w:pPr>
        <w:pStyle w:val="null3"/>
      </w:pPr>
      <w:r>
        <w:rPr>
          <w:sz w:val="27"/>
        </w:rPr>
        <w:t>4.在实施及免费维护期内，应满足所提供软件的功能模块客户化需求。</w:t>
      </w:r>
    </w:p>
    <w:p>
      <w:pPr>
        <w:pStyle w:val="null3"/>
        <w:spacing w:before="0" w:after="0" w:lineRule="auto" w:line="360"/>
        <w:ind w:left="0" w:right="0"/>
        <w:jc w:val="both"/>
      </w:pPr>
      <w:r>
        <w:rPr>
          <w:sz w:val="27"/>
          <w:b/>
        </w:rPr>
        <w:t>七、</w:t>
      </w:r>
      <w:r>
        <w:rPr>
          <w:sz w:val="27"/>
          <w:b/>
        </w:rPr>
        <w:t>安装与调试、验收标准</w:t>
      </w:r>
    </w:p>
    <w:p>
      <w:pPr>
        <w:pStyle w:val="null3"/>
        <w:ind w:right="45" w:firstLine="420"/>
        <w:jc w:val="both"/>
      </w:pPr>
      <w:r>
        <w:rPr>
          <w:sz w:val="27"/>
        </w:rPr>
        <w:t>1.乙方必须依照磋商文件的要求和响应文件的承诺，将设备、系统安装并调试至正常运行的最佳状态且达到相关规范要求和标准。如果合同设备运输和安装调试过程中因事故造成设备短缺、损坏，乙方应在7个日历日内完成更换，以保证合同设备安装调试的成功完成。更换的相关费用由乙方承担。</w:t>
      </w:r>
    </w:p>
    <w:p>
      <w:pPr>
        <w:pStyle w:val="null3"/>
      </w:pPr>
      <w:r>
        <w:rPr>
          <w:sz w:val="27"/>
        </w:rPr>
        <w:t>2.设备若有国家标准按照国家标准验收，若无国家标准按行业标准验收。</w:t>
      </w:r>
    </w:p>
    <w:p>
      <w:pPr>
        <w:pStyle w:val="null3"/>
      </w:pPr>
      <w:r>
        <w:rPr>
          <w:sz w:val="27"/>
        </w:rPr>
        <w:t>3.为保证项目质量，甲方有权在项目实施过程中对乙方的施工、安装等工作进行监督，组织审定项目实施进度计划，对整个项目的服务内容进行核准认定，共同对建设工作进行各项测试直至验收完成。</w:t>
      </w:r>
    </w:p>
    <w:p>
      <w:pPr>
        <w:pStyle w:val="null3"/>
      </w:pPr>
      <w:r>
        <w:rPr>
          <w:sz w:val="27"/>
        </w:rPr>
        <w:t>4.乙方应根据系统设计方案提出验收方案和验收文档清单，用户可根据合同、需求说明书的有关规定对验收规范和内容进行修改和补充，经双方确认后形成验收文件作为验收依据。</w:t>
      </w:r>
    </w:p>
    <w:p>
      <w:pPr>
        <w:pStyle w:val="null3"/>
      </w:pPr>
      <w:r>
        <w:rPr>
          <w:sz w:val="27"/>
        </w:rPr>
        <w:t>5.甲方组成验收小组按国家有关规定、规范及验收文件进行验收，邀请相关的专业人员或机构进行验收。因设备质量问题发生争议时，由本地质量技术监督部门鉴定。设备符合质量技术标准的，鉴定费由甲方承担；否则鉴定费由乙方承担。</w:t>
      </w:r>
    </w:p>
    <w:p>
      <w:pPr>
        <w:pStyle w:val="null3"/>
      </w:pPr>
      <w:r>
        <w:rPr>
          <w:sz w:val="27"/>
        </w:rPr>
        <w:t>6.乙方负责在验收前将运行稳定可靠的安装程序以及全部相关的设计、安装、测试、验收报告等文档汇集成册交付用户。</w:t>
      </w:r>
    </w:p>
    <w:p>
      <w:pPr>
        <w:pStyle w:val="null3"/>
        <w:spacing w:before="0" w:after="0" w:lineRule="auto" w:line="360"/>
        <w:ind w:left="0" w:right="0"/>
        <w:jc w:val="both"/>
      </w:pPr>
      <w:r>
        <w:rPr>
          <w:sz w:val="27"/>
          <w:b/>
        </w:rPr>
        <w:t>八、</w:t>
      </w:r>
      <w:r>
        <w:rPr>
          <w:sz w:val="27"/>
          <w:b/>
        </w:rPr>
        <w:t>违约责任与赔偿损失</w:t>
      </w:r>
    </w:p>
    <w:p>
      <w:pPr>
        <w:pStyle w:val="null3"/>
        <w:spacing w:before="0" w:after="0" w:lineRule="auto" w:line="360"/>
        <w:ind w:left="0" w:right="0"/>
        <w:jc w:val="both"/>
      </w:pPr>
      <w:r>
        <w:rPr>
          <w:sz w:val="27"/>
        </w:rPr>
        <w:t>1.</w:t>
      </w:r>
      <w:r>
        <w:rPr>
          <w:sz w:val="27"/>
        </w:rPr>
        <w:t>乙方交付的升级改造设备、工程/提供的服务不符合本合同规定的，甲方有权拒收，并且乙方须向甲方支付本合同总价5%的违约金。</w:t>
      </w:r>
    </w:p>
    <w:p>
      <w:pPr>
        <w:pStyle w:val="null3"/>
        <w:spacing w:before="0" w:after="0" w:lineRule="auto" w:line="360"/>
        <w:ind w:left="0" w:right="0"/>
        <w:jc w:val="both"/>
      </w:pPr>
      <w:r>
        <w:rPr>
          <w:sz w:val="27"/>
        </w:rPr>
        <w:t>2.</w:t>
      </w:r>
      <w:r>
        <w:rPr>
          <w:sz w:val="27"/>
        </w:rPr>
        <w:t>乙方未能按本合同规定的交付时间交付升级改造设备的/提供服务，从逾期之日起每日按本合同总价3‰的数额向甲方支付违约金；逾期半个月以上的，甲方有权终止合同，由此造成的甲方经济损失由乙方承担。</w:t>
      </w:r>
    </w:p>
    <w:p>
      <w:pPr>
        <w:pStyle w:val="null3"/>
        <w:spacing w:before="0" w:after="0" w:lineRule="auto" w:line="360"/>
        <w:ind w:left="0" w:right="0"/>
        <w:jc w:val="both"/>
      </w:pPr>
      <w:r>
        <w:rPr>
          <w:sz w:val="27"/>
        </w:rPr>
        <w:t>3.</w:t>
      </w:r>
      <w:r>
        <w:rPr>
          <w:sz w:val="27"/>
        </w:rPr>
        <w:t>甲方无正当理由拒收升级改造设备/接受服务，到期拒付升级改造设备/服务款项的，甲方向乙方偿付本合同总的5%的违约金。甲方人逾期付款，则每日按本合同总价的3‰向乙方偿付违约金。</w:t>
      </w:r>
    </w:p>
    <w:p>
      <w:pPr>
        <w:pStyle w:val="null3"/>
        <w:spacing w:before="0" w:after="0" w:lineRule="auto" w:line="360"/>
        <w:ind w:left="0" w:right="0"/>
        <w:jc w:val="both"/>
      </w:pPr>
      <w:r>
        <w:rPr>
          <w:sz w:val="27"/>
        </w:rPr>
        <w:t>4.   对于因甲方原因导致变更、中止或者终止政府采购合同的，甲方应当依照以下合同约定对乙方受到的损失予以赔偿或者补偿：</w:t>
      </w:r>
    </w:p>
    <w:p>
      <w:pPr>
        <w:pStyle w:val="null3"/>
        <w:spacing w:before="0" w:after="0" w:lineRule="auto" w:line="360"/>
        <w:ind w:left="0" w:right="0"/>
        <w:jc w:val="both"/>
      </w:pPr>
      <w:r>
        <w:rPr>
          <w:sz w:val="27"/>
        </w:rPr>
        <w:t xml:space="preserve">       </w:t>
      </w:r>
      <w:r>
        <w:rPr>
          <w:sz w:val="27"/>
          <w:u w:val="single"/>
        </w:rPr>
        <w:t xml:space="preserve">                                                </w:t>
      </w:r>
    </w:p>
    <w:p>
      <w:pPr>
        <w:pStyle w:val="null3"/>
        <w:spacing w:before="0" w:after="0" w:lineRule="auto" w:line="360"/>
        <w:ind w:left="0" w:right="0"/>
        <w:jc w:val="both"/>
      </w:pPr>
      <w:r>
        <w:rPr>
          <w:sz w:val="27"/>
        </w:rPr>
        <w:t>5.</w:t>
      </w:r>
      <w:r>
        <w:rPr>
          <w:sz w:val="27"/>
        </w:rPr>
        <w:t>其它违约责任按《中华人民</w:t>
      </w:r>
      <w:r>
        <w:rPr>
          <w:sz w:val="27"/>
        </w:rPr>
        <w:t>共和国民法典(合同编)》处理。</w:t>
      </w:r>
    </w:p>
    <w:p>
      <w:pPr>
        <w:pStyle w:val="null3"/>
        <w:spacing w:before="0" w:after="0" w:lineRule="auto" w:line="360"/>
        <w:ind w:left="1092" w:right="0"/>
        <w:jc w:val="both"/>
      </w:pPr>
      <w:r>
        <w:rPr>
          <w:sz w:val="27"/>
          <w:b/>
        </w:rPr>
        <w:t>九、</w:t>
      </w:r>
      <w:r>
        <w:rPr>
          <w:sz w:val="27"/>
          <w:b/>
        </w:rPr>
        <w:t>争议的解决</w:t>
      </w:r>
      <w:r>
        <w:rPr>
          <w:sz w:val="27"/>
        </w:rPr>
        <w:t xml:space="preserve">   合同执行过程中发生的任何争议，如双方不能通过友好协商解决，按相关法律法规处理。</w:t>
      </w:r>
    </w:p>
    <w:p>
      <w:pPr>
        <w:pStyle w:val="null3"/>
        <w:spacing w:before="0" w:after="0" w:lineRule="auto" w:line="360"/>
        <w:ind w:left="1092" w:right="0"/>
        <w:jc w:val="both"/>
      </w:pPr>
      <w:r>
        <w:rPr>
          <w:sz w:val="27"/>
          <w:b/>
        </w:rPr>
        <w:t>十、不可抗力</w:t>
      </w:r>
    </w:p>
    <w:p>
      <w:pPr>
        <w:pStyle w:val="null3"/>
        <w:spacing w:before="0" w:after="0" w:lineRule="auto" w:line="360"/>
        <w:ind w:left="0" w:right="0"/>
        <w:jc w:val="both"/>
      </w:pPr>
      <w:r>
        <w:rPr>
          <w:sz w:val="27"/>
        </w:rPr>
        <w:t>1.</w:t>
      </w:r>
      <w:r>
        <w:rPr>
          <w:sz w:val="27"/>
        </w:rPr>
        <w:t>任何一方由于不可抗力原因不能履行合同时，应在不可抗力事件结束后1日内向对方通报，以减轻可能给对方造成的损失，在取得有关机构的不可抗力证明或双方谅解确认后，允许延期履行或修订合同，并根据情况可部分或全部免于承担违约责任。</w:t>
      </w:r>
    </w:p>
    <w:p>
      <w:pPr>
        <w:pStyle w:val="null3"/>
        <w:spacing w:before="0" w:after="0" w:lineRule="auto" w:line="360"/>
        <w:ind w:left="1092" w:right="0"/>
        <w:jc w:val="both"/>
      </w:pPr>
      <w:r>
        <w:rPr>
          <w:sz w:val="27"/>
          <w:b/>
        </w:rPr>
        <w:t>十一、</w:t>
      </w:r>
      <w:r>
        <w:rPr>
          <w:sz w:val="27"/>
          <w:b/>
        </w:rPr>
        <w:t>税费</w:t>
      </w:r>
    </w:p>
    <w:p>
      <w:pPr>
        <w:pStyle w:val="null3"/>
        <w:spacing w:before="0" w:after="0" w:lineRule="auto" w:line="360"/>
        <w:ind w:left="0" w:right="0"/>
        <w:jc w:val="both"/>
      </w:pPr>
      <w:r>
        <w:rPr>
          <w:sz w:val="27"/>
        </w:rPr>
        <w:t>1.</w:t>
      </w:r>
      <w:r>
        <w:rPr>
          <w:sz w:val="27"/>
        </w:rPr>
        <w:t>在中国境内、外发生的与本合同执行有关的一切税费均由乙方负担。</w:t>
      </w:r>
    </w:p>
    <w:p>
      <w:pPr>
        <w:pStyle w:val="null3"/>
        <w:spacing w:before="0" w:after="0" w:lineRule="auto" w:line="360"/>
        <w:ind w:left="1092" w:right="0"/>
        <w:jc w:val="both"/>
      </w:pPr>
      <w:r>
        <w:rPr>
          <w:sz w:val="27"/>
          <w:b/>
        </w:rPr>
        <w:t>十二、</w:t>
      </w:r>
      <w:r>
        <w:rPr>
          <w:sz w:val="27"/>
        </w:rPr>
        <w:t xml:space="preserve"> </w:t>
      </w:r>
      <w:r>
        <w:rPr>
          <w:sz w:val="27"/>
          <w:b/>
        </w:rPr>
        <w:t>其它</w:t>
      </w:r>
    </w:p>
    <w:p>
      <w:pPr>
        <w:pStyle w:val="null3"/>
        <w:spacing w:before="0" w:after="0" w:lineRule="auto" w:line="360"/>
        <w:ind w:left="0" w:right="0"/>
        <w:jc w:val="both"/>
      </w:pPr>
      <w:r>
        <w:rPr>
          <w:sz w:val="27"/>
        </w:rPr>
        <w:t>1.</w:t>
      </w:r>
      <w:r>
        <w:rPr>
          <w:sz w:val="27"/>
        </w:rPr>
        <w:t>本合同所有附件、招标文件、投标文件、中标通知书均为合同的有效组成部分，与本合同具有同等法律效力。</w:t>
      </w:r>
    </w:p>
    <w:p>
      <w:pPr>
        <w:pStyle w:val="null3"/>
        <w:spacing w:before="0" w:after="0" w:lineRule="auto" w:line="360"/>
        <w:ind w:left="0" w:right="0"/>
        <w:jc w:val="both"/>
      </w:pPr>
      <w:r>
        <w:rPr>
          <w:sz w:val="27"/>
        </w:rPr>
        <w:t>2.</w:t>
      </w:r>
      <w:r>
        <w:rPr>
          <w:sz w:val="27"/>
        </w:rPr>
        <w:t>在执行本合同的过程中，所有经双方签署确认的文件（包括会议纪要、补充协议、往来信函）即成为本合同的有效组成部分。</w:t>
      </w:r>
    </w:p>
    <w:p>
      <w:pPr>
        <w:pStyle w:val="null3"/>
        <w:spacing w:before="0" w:after="0" w:lineRule="auto" w:line="360"/>
        <w:ind w:left="0" w:right="0"/>
        <w:jc w:val="both"/>
      </w:pPr>
      <w:r>
        <w:rPr>
          <w:sz w:val="27"/>
        </w:rPr>
        <w:t>3.</w:t>
      </w:r>
      <w:r>
        <w:rPr>
          <w:sz w:val="27"/>
        </w:rPr>
        <w:t>如一方地址、电话、传真号码有变更，应在变更当日内书面通知对方，否则，应承担相应责任。</w:t>
      </w:r>
    </w:p>
    <w:p>
      <w:pPr>
        <w:pStyle w:val="null3"/>
        <w:spacing w:before="0" w:after="0" w:lineRule="auto" w:line="360"/>
        <w:ind w:left="0" w:right="0"/>
        <w:jc w:val="both"/>
      </w:pPr>
      <w:r>
        <w:rPr>
          <w:sz w:val="27"/>
        </w:rPr>
        <w:t>4.</w:t>
      </w:r>
      <w:r>
        <w:rPr>
          <w:sz w:val="27"/>
        </w:rPr>
        <w:t>除甲方事先书面同意外，乙方不得部分或全部转让其应履行的合同项下的义务。</w:t>
      </w:r>
    </w:p>
    <w:p>
      <w:pPr>
        <w:pStyle w:val="null3"/>
        <w:spacing w:before="0" w:after="0" w:lineRule="auto" w:line="360"/>
        <w:ind w:left="1092" w:right="0"/>
        <w:jc w:val="both"/>
      </w:pPr>
      <w:r>
        <w:rPr>
          <w:sz w:val="27"/>
          <w:b/>
        </w:rPr>
        <w:t>十三、</w:t>
      </w:r>
      <w:r>
        <w:rPr>
          <w:sz w:val="27"/>
        </w:rPr>
        <w:t xml:space="preserve">      </w:t>
      </w:r>
      <w:r>
        <w:rPr>
          <w:sz w:val="27"/>
          <w:b/>
        </w:rPr>
        <w:t>合同生效</w:t>
      </w:r>
    </w:p>
    <w:p>
      <w:pPr>
        <w:pStyle w:val="null3"/>
        <w:spacing w:before="0" w:after="0" w:lineRule="auto" w:line="360"/>
        <w:ind w:left="0" w:right="0"/>
        <w:jc w:val="both"/>
      </w:pPr>
      <w:r>
        <w:rPr>
          <w:sz w:val="27"/>
        </w:rPr>
        <w:t>1.</w:t>
      </w:r>
      <w:r>
        <w:rPr>
          <w:sz w:val="27"/>
        </w:rPr>
        <w:t>本合同在甲乙双方法人代表或其授权代表签字盖章后生效。</w:t>
      </w:r>
    </w:p>
    <w:p>
      <w:pPr>
        <w:pStyle w:val="null3"/>
        <w:spacing w:before="0" w:after="0" w:lineRule="auto" w:line="360"/>
        <w:ind w:left="0" w:right="0"/>
        <w:jc w:val="both"/>
      </w:pPr>
      <w:r>
        <w:rPr>
          <w:sz w:val="27"/>
        </w:rPr>
        <w:t>2.</w:t>
      </w:r>
      <w:r>
        <w:rPr>
          <w:sz w:val="27"/>
        </w:rPr>
        <w:t>合同一式</w:t>
      </w:r>
      <w:r>
        <w:rPr>
          <w:sz w:val="27"/>
          <w:u w:val="single"/>
        </w:rPr>
        <w:t xml:space="preserve">    </w:t>
      </w:r>
      <w:r>
        <w:rPr>
          <w:sz w:val="27"/>
        </w:rPr>
        <w:t>份。</w:t>
      </w:r>
    </w:p>
    <w:p>
      <w:pPr>
        <w:pStyle w:val="null3"/>
        <w:spacing w:before="0" w:after="0" w:lineRule="auto" w:line="360"/>
        <w:ind w:left="0" w:right="0"/>
        <w:jc w:val="both"/>
      </w:pPr>
      <w:r>
        <w:rPr>
          <w:sz w:val="27"/>
        </w:rPr>
        <w:t xml:space="preserve"> </w:t>
      </w:r>
    </w:p>
    <w:p>
      <w:pPr>
        <w:pStyle w:val="null3"/>
        <w:spacing w:before="0" w:after="0" w:lineRule="auto" w:line="360"/>
        <w:ind w:left="0" w:right="0"/>
        <w:jc w:val="both"/>
      </w:pPr>
      <w:r>
        <w:rPr>
          <w:sz w:val="27"/>
          <w:b/>
        </w:rPr>
        <w:t>甲方（盖章）：</w:t>
      </w:r>
      <w:r>
        <w:rPr>
          <w:sz w:val="27"/>
          <w:b/>
        </w:rPr>
        <w:t>乙方（盖章）：</w:t>
      </w:r>
    </w:p>
    <w:p>
      <w:pPr>
        <w:pStyle w:val="null3"/>
        <w:spacing w:before="0" w:after="0" w:lineRule="auto" w:line="360"/>
        <w:ind w:left="0" w:right="0"/>
        <w:jc w:val="both"/>
      </w:pPr>
      <w:r>
        <w:rPr>
          <w:sz w:val="27"/>
          <w:b/>
        </w:rPr>
        <w:t>代表：</w:t>
      </w:r>
      <w:r>
        <w:rPr>
          <w:sz w:val="27"/>
          <w:b/>
        </w:rPr>
        <w:t>代表：</w:t>
      </w:r>
    </w:p>
    <w:p>
      <w:pPr>
        <w:pStyle w:val="null3"/>
        <w:spacing w:before="0" w:after="0" w:lineRule="auto" w:line="360"/>
        <w:ind w:left="0" w:right="0"/>
        <w:jc w:val="both"/>
      </w:pPr>
      <w:r>
        <w:rPr>
          <w:sz w:val="27"/>
        </w:rPr>
        <w:t>签订地点：</w:t>
      </w:r>
    </w:p>
    <w:p>
      <w:pPr>
        <w:pStyle w:val="null3"/>
        <w:spacing w:before="0" w:after="0" w:lineRule="auto" w:line="360"/>
        <w:ind w:left="0" w:right="0"/>
        <w:jc w:val="both"/>
      </w:pPr>
      <w:r>
        <w:rPr>
          <w:sz w:val="27"/>
        </w:rPr>
        <w:t>签订日期：　　　年　　月　　日</w:t>
      </w:r>
      <w:r>
        <w:rPr>
          <w:sz w:val="27"/>
        </w:rPr>
        <w:t>签订日期：　　　年　　月　　日</w:t>
      </w:r>
    </w:p>
    <w:p>
      <w:pPr>
        <w:pStyle w:val="null3"/>
        <w:spacing w:before="0" w:after="0" w:lineRule="auto" w:line="360"/>
        <w:ind w:left="0" w:right="0"/>
        <w:jc w:val="both"/>
      </w:pPr>
      <w:r>
        <w:rPr>
          <w:sz w:val="27"/>
        </w:rPr>
        <w:t>开户名称：</w:t>
      </w:r>
    </w:p>
    <w:p>
      <w:pPr>
        <w:pStyle w:val="null3"/>
        <w:spacing w:before="0" w:after="0" w:lineRule="auto" w:line="360"/>
        <w:ind w:left="0" w:right="0"/>
        <w:jc w:val="both"/>
      </w:pPr>
      <w:r>
        <w:rPr>
          <w:sz w:val="27"/>
        </w:rPr>
        <w:t>银行帐号：</w:t>
      </w:r>
    </w:p>
    <w:p>
      <w:pPr>
        <w:pStyle w:val="null3"/>
        <w:spacing w:before="0" w:after="0" w:lineRule="auto" w:line="360"/>
        <w:ind w:left="0" w:right="0"/>
        <w:jc w:val="both"/>
      </w:pPr>
      <w:r>
        <w:rPr>
          <w:sz w:val="27"/>
        </w:rPr>
        <w:t>开 户 行：</w:t>
      </w:r>
    </w:p>
    <w:p>
      <w:pPr>
        <w:pStyle w:val="null3"/>
      </w:pPr>
      <w:r>
        <w:rPr/>
        <w:t xml:space="preserve">  </w:t>
      </w:r>
    </w:p>
    <w:p>
      <w:pPr>
        <w:pStyle w:val="null3"/>
        <w:jc w:val="center"/>
        <w:outlineLvl w:val="1"/>
      </w:pPr>
      <w:r>
        <w:rPr>
          <w:sz w:val="36"/>
          <w:b/>
        </w:rPr>
        <w:t>第六章 响应文件格式与要求</w:t>
      </w:r>
    </w:p>
    <w:p>
      <w:pPr>
        <w:pStyle w:val="null3"/>
        <w:ind w:firstLine="480"/>
      </w:pPr>
      <w:r>
        <w:rPr/>
        <w:t>供应商应提交证明其有资格参加磋商和成交后有能力履行合同的相关文件，并作为其响应文件的一部分，所有文件必须真实可靠、不得伪造，否则将按相关规定予以处罚。</w:t>
      </w:r>
    </w:p>
    <w:p>
      <w:pPr>
        <w:pStyle w:val="null3"/>
        <w:ind w:firstLine="480"/>
      </w:pPr>
      <w:r>
        <w:rPr/>
        <w:t>1.法人或者其他组织的营业执照等证明文件，自然人的身份证明：</w:t>
      </w:r>
    </w:p>
    <w:p>
      <w:pPr>
        <w:pStyle w:val="null3"/>
        <w:ind w:firstLine="480"/>
      </w:pPr>
      <w:r>
        <w:rPr/>
        <w:t xml:space="preserve"> 法人包括企业法人、机关法人、事业单位法人和社会团体法人；其他组织主要包括合伙企业、非企业专业服务机构、个体工商户、农村承包经营户；自然人是指《中华人民共和国民法典》（以下简称《民法典》）规定的具有完全民事行为能力、能够承担民事责任和义务的公民。如供应商是企业（包括合伙企业），要提供在工商部门注册的有效“企业法人营业执照”或“营业执照”；如供应商是事业单位，要提供有效的“事业单位法人证书”；供应商是非企业专业服务机构的，如律师事务所，会计师事务所要提供执业许可证等证明文件；如供应商是个体工商户，要提供有效的“个体工商户营业执照”；如供应商是自然人，要提供有效的自然人身份证明。</w:t>
      </w:r>
    </w:p>
    <w:p>
      <w:pPr>
        <w:pStyle w:val="null3"/>
        <w:ind w:firstLine="480"/>
      </w:pPr>
      <w:r>
        <w:rPr/>
        <w:t xml:space="preserve"> 这里所指“其他组织”不包括法人的分支机构，由于法人分支机构不能独立承担民事责任，不能以分支机构的身份参加政府采购，只能以法人身份参加。“但由于银行、保险、石油石化、电力、电信等行业具有其特殊性，如果能够提供其法人给予的相应授权证明材料，可以参加政府采购活动”。</w:t>
      </w:r>
    </w:p>
    <w:p>
      <w:pPr>
        <w:pStyle w:val="null3"/>
        <w:ind w:firstLine="480"/>
      </w:pPr>
      <w:r>
        <w:rPr/>
        <w:t>2.财务状况报告，依法缴纳税收和社会保障资金的相关材料（详见资格性审查表要求）</w:t>
      </w:r>
    </w:p>
    <w:p>
      <w:pPr>
        <w:pStyle w:val="null3"/>
        <w:ind w:firstLine="480"/>
      </w:pPr>
      <w:r>
        <w:rPr/>
        <w:t>3.具有履行合同所必需的设备和专业技术能力的声明。</w:t>
      </w:r>
    </w:p>
    <w:p>
      <w:pPr>
        <w:pStyle w:val="null3"/>
        <w:ind w:firstLine="480"/>
      </w:pPr>
      <w:r>
        <w:rPr/>
        <w:t>4.供应商参加政府采购前三年内在经营活动中没有重大违法记录声明函。</w:t>
      </w:r>
    </w:p>
    <w:p>
      <w:pPr>
        <w:pStyle w:val="null3"/>
        <w:ind w:firstLine="480"/>
      </w:pPr>
      <w:r>
        <w:rPr/>
        <w:t>5.信用记录查询</w:t>
      </w:r>
    </w:p>
    <w:p>
      <w:pPr>
        <w:pStyle w:val="null3"/>
        <w:ind w:firstLine="480"/>
      </w:pPr>
      <w:r>
        <w:rPr/>
        <w:t>（1）查询渠道：通过“信用中国”网站(www.creditchina.gov.cn)和“中国政府采购网”（www.ccgp.gov.cn）进行查询；</w:t>
      </w:r>
    </w:p>
    <w:p>
      <w:pPr>
        <w:pStyle w:val="null3"/>
        <w:ind w:firstLine="480"/>
      </w:pPr>
      <w:r>
        <w:rPr/>
        <w:t>（2）查询截止时点：提交响应文件截止日当天；</w:t>
      </w:r>
    </w:p>
    <w:p>
      <w:pPr>
        <w:pStyle w:val="null3"/>
        <w:ind w:firstLine="480"/>
      </w:pPr>
      <w:r>
        <w:rPr/>
        <w:t>（3）查询记录：对列入失信被执行人、重大税收违法案件当事人名单、政府采购严重违法失信行为记录名单、信用报告进行查询；</w:t>
      </w:r>
    </w:p>
    <w:p>
      <w:pPr>
        <w:pStyle w:val="null3"/>
        <w:ind w:firstLine="480"/>
      </w:pPr>
      <w:r>
        <w:rPr/>
        <w:t xml:space="preserve"> 采购人或采购代理机构应当按照查询渠道、查询时间节点、查询记录内容进行查询，并存档。对信用记录查询结果中显示供应商被列入失信被执行人、重大税收违法案件当事人名单、政府采购严重违法失信行为记录名单的供应商作无效响应处理。</w:t>
      </w:r>
    </w:p>
    <w:p>
      <w:pPr>
        <w:pStyle w:val="null3"/>
        <w:ind w:firstLine="480"/>
      </w:pPr>
      <w:r>
        <w:rPr/>
        <w:t>6. 按照磋商文件要求，供应商应当提交的资格、资信证明文件。</w:t>
      </w:r>
    </w:p>
    <w:p>
      <w:pPr>
        <w:pStyle w:val="null3"/>
      </w:pPr>
      <w:r>
        <w:rPr/>
        <w:t xml:space="preserve">  </w:t>
      </w:r>
    </w:p>
    <w:p>
      <w:pPr>
        <w:pStyle w:val="null3"/>
        <w:jc w:val="center"/>
        <w:outlineLvl w:val="0"/>
      </w:pPr>
      <w:r>
        <w:rPr>
          <w:sz w:val="48"/>
          <w:b/>
        </w:rPr>
        <w:t>响应文件封面</w:t>
      </w:r>
    </w:p>
    <w:p>
      <w:pPr>
        <w:pStyle w:val="null3"/>
        <w:outlineLvl w:val="0"/>
      </w:pPr>
      <w:r>
        <w:rPr>
          <w:sz w:val="48"/>
          <w:b/>
        </w:rPr>
        <w:t>（项目名称）</w:t>
      </w:r>
    </w:p>
    <w:p>
      <w:pPr>
        <w:pStyle w:val="null3"/>
        <w:jc w:val="center"/>
        <w:outlineLvl w:val="0"/>
      </w:pPr>
      <w:r>
        <w:rPr>
          <w:sz w:val="48"/>
          <w:b/>
        </w:rPr>
        <w:t xml:space="preserve"> 响应文件封面</w:t>
      </w:r>
    </w:p>
    <w:p>
      <w:pPr>
        <w:pStyle w:val="null3"/>
        <w:jc w:val="center"/>
        <w:outlineLvl w:val="3"/>
      </w:pPr>
      <w:r>
        <w:rPr>
          <w:sz w:val="24"/>
          <w:b/>
        </w:rPr>
        <w:t xml:space="preserve"> （正本/副本）</w:t>
      </w:r>
    </w:p>
    <w:p>
      <w:pPr>
        <w:pStyle w:val="null3"/>
        <w:outlineLvl w:val="3"/>
      </w:pPr>
      <w:r>
        <w:rPr>
          <w:sz w:val="24"/>
          <w:b/>
        </w:rPr>
        <w:t>采购计划编号：</w:t>
      </w:r>
      <w:r>
        <w:rPr>
          <w:sz w:val="24"/>
          <w:b/>
        </w:rPr>
        <w:t>442000003-2026-00081</w:t>
      </w:r>
    </w:p>
    <w:p>
      <w:pPr>
        <w:pStyle w:val="null3"/>
        <w:jc w:val="center"/>
        <w:outlineLvl w:val="3"/>
      </w:pPr>
      <w:r>
        <w:rPr>
          <w:sz w:val="24"/>
          <w:b/>
        </w:rPr>
        <w:t>采购项目编号：</w:t>
      </w:r>
      <w:r>
        <w:rPr>
          <w:sz w:val="24"/>
          <w:b/>
        </w:rPr>
        <w:t>ZSJD25ZC0118</w:t>
      </w:r>
    </w:p>
    <w:p>
      <w:pPr>
        <w:pStyle w:val="null3"/>
        <w:jc w:val="center"/>
        <w:outlineLvl w:val="3"/>
      </w:pPr>
      <w:r>
        <w:rPr>
          <w:sz w:val="24"/>
          <w:b/>
        </w:rPr>
        <w:t>所响应采购包：第 包</w:t>
      </w:r>
    </w:p>
    <w:p>
      <w:pPr>
        <w:pStyle w:val="null3"/>
        <w:outlineLvl w:val="3"/>
      </w:pPr>
      <w:r>
        <w:rPr>
          <w:sz w:val="24"/>
          <w:b/>
        </w:rPr>
        <w:t>（供应商名称）</w:t>
      </w:r>
    </w:p>
    <w:p>
      <w:pPr>
        <w:pStyle w:val="null3"/>
        <w:jc w:val="center"/>
        <w:outlineLvl w:val="3"/>
      </w:pPr>
      <w:r>
        <w:rPr>
          <w:sz w:val="24"/>
          <w:b/>
        </w:rPr>
        <w:t xml:space="preserve"> 年 月 日</w:t>
      </w:r>
    </w:p>
    <w:p>
      <w:pPr>
        <w:pStyle w:val="null3"/>
        <w:ind w:firstLine="480"/>
      </w:pPr>
      <w:r>
        <w:rPr/>
        <w:t xml:space="preserve">  </w:t>
      </w:r>
    </w:p>
    <w:p>
      <w:pPr>
        <w:pStyle w:val="null3"/>
        <w:jc w:val="center"/>
        <w:outlineLvl w:val="3"/>
      </w:pPr>
      <w:r>
        <w:rPr>
          <w:sz w:val="24"/>
          <w:b/>
        </w:rPr>
        <w:t>响应文件目录</w:t>
      </w:r>
    </w:p>
    <w:p>
      <w:pPr>
        <w:pStyle w:val="null3"/>
        <w:ind w:firstLine="480"/>
      </w:pPr>
      <w:r>
        <w:rPr/>
        <w:t>一、响应承诺函</w:t>
      </w:r>
    </w:p>
    <w:p>
      <w:pPr>
        <w:pStyle w:val="null3"/>
        <w:ind w:firstLine="480"/>
      </w:pPr>
      <w:r>
        <w:rPr/>
        <w:t>二、首轮报价表</w:t>
      </w:r>
    </w:p>
    <w:p>
      <w:pPr>
        <w:pStyle w:val="null3"/>
        <w:ind w:firstLine="480"/>
      </w:pPr>
      <w:r>
        <w:rPr/>
        <w:t>三、分项报价表</w:t>
      </w:r>
    </w:p>
    <w:p>
      <w:pPr>
        <w:pStyle w:val="null3"/>
        <w:ind w:firstLine="480"/>
      </w:pPr>
      <w:r>
        <w:rPr/>
        <w:t>四、政策适用性说明</w:t>
      </w:r>
    </w:p>
    <w:p>
      <w:pPr>
        <w:pStyle w:val="null3"/>
        <w:ind w:firstLine="480"/>
      </w:pPr>
      <w:r>
        <w:rPr/>
        <w:t>五、关于符合本国产品标准的声明函等有关证明文件（如适用）</w:t>
      </w:r>
    </w:p>
    <w:p>
      <w:pPr>
        <w:pStyle w:val="null3"/>
        <w:ind w:firstLine="480"/>
      </w:pPr>
      <w:r>
        <w:rPr/>
        <w:t>六、法定代表人证明书</w:t>
      </w:r>
    </w:p>
    <w:p>
      <w:pPr>
        <w:pStyle w:val="null3"/>
        <w:ind w:firstLine="480"/>
      </w:pPr>
      <w:r>
        <w:rPr/>
        <w:t>七、法定代表人授权书</w:t>
      </w:r>
    </w:p>
    <w:p>
      <w:pPr>
        <w:pStyle w:val="null3"/>
        <w:ind w:firstLine="480"/>
      </w:pPr>
      <w:r>
        <w:rPr/>
        <w:t>八、响应保证金</w:t>
      </w:r>
    </w:p>
    <w:p>
      <w:pPr>
        <w:pStyle w:val="null3"/>
        <w:ind w:firstLine="480"/>
      </w:pPr>
      <w:r>
        <w:rPr/>
        <w:t>九、提供具有独立承担民事责任的能力的证明材料</w:t>
      </w:r>
    </w:p>
    <w:p>
      <w:pPr>
        <w:pStyle w:val="null3"/>
        <w:ind w:firstLine="480"/>
      </w:pPr>
      <w:r>
        <w:rPr/>
        <w:t>十、资格性审查要求的其他资质证明文件</w:t>
      </w:r>
    </w:p>
    <w:p>
      <w:pPr>
        <w:pStyle w:val="null3"/>
        <w:ind w:firstLine="480"/>
      </w:pPr>
      <w:r>
        <w:rPr/>
        <w:t>十一、承诺函</w:t>
      </w:r>
    </w:p>
    <w:p>
      <w:pPr>
        <w:pStyle w:val="null3"/>
        <w:ind w:firstLine="480"/>
      </w:pPr>
      <w:r>
        <w:rPr/>
        <w:t>十二、中小企业声明函</w:t>
      </w:r>
    </w:p>
    <w:p>
      <w:pPr>
        <w:pStyle w:val="null3"/>
        <w:ind w:firstLine="480"/>
      </w:pPr>
      <w:r>
        <w:rPr/>
        <w:t>十三、监狱企业</w:t>
      </w:r>
    </w:p>
    <w:p>
      <w:pPr>
        <w:pStyle w:val="null3"/>
        <w:ind w:firstLine="480"/>
      </w:pPr>
      <w:r>
        <w:rPr/>
        <w:t>十四、残疾人福利性单位声明函</w:t>
      </w:r>
    </w:p>
    <w:p>
      <w:pPr>
        <w:pStyle w:val="null3"/>
        <w:ind w:firstLine="480"/>
      </w:pPr>
      <w:r>
        <w:rPr/>
        <w:t>十五、联合体共同响应协议书</w:t>
      </w:r>
    </w:p>
    <w:p>
      <w:pPr>
        <w:pStyle w:val="null3"/>
        <w:ind w:firstLine="480"/>
      </w:pPr>
      <w:r>
        <w:rPr/>
        <w:t>十六、供应商业绩情况表</w:t>
      </w:r>
    </w:p>
    <w:p>
      <w:pPr>
        <w:pStyle w:val="null3"/>
        <w:ind w:firstLine="480"/>
      </w:pPr>
      <w:r>
        <w:rPr/>
        <w:t>十七、技术和服务要求响应表</w:t>
      </w:r>
    </w:p>
    <w:p>
      <w:pPr>
        <w:pStyle w:val="null3"/>
        <w:ind w:firstLine="480"/>
      </w:pPr>
      <w:r>
        <w:rPr/>
        <w:t>十八、商务条件响应表</w:t>
      </w:r>
    </w:p>
    <w:p>
      <w:pPr>
        <w:pStyle w:val="null3"/>
        <w:ind w:firstLine="480"/>
      </w:pPr>
      <w:r>
        <w:rPr/>
        <w:t>十九、履约进度计划表</w:t>
      </w:r>
    </w:p>
    <w:p>
      <w:pPr>
        <w:pStyle w:val="null3"/>
        <w:ind w:firstLine="480"/>
      </w:pPr>
      <w:r>
        <w:rPr/>
        <w:t>二十、各类证明材料</w:t>
      </w:r>
    </w:p>
    <w:p>
      <w:pPr>
        <w:pStyle w:val="null3"/>
        <w:ind w:firstLine="480"/>
      </w:pPr>
      <w:r>
        <w:rPr/>
        <w:t>二十一、采购代理服务费支付承诺书</w:t>
      </w:r>
    </w:p>
    <w:p>
      <w:pPr>
        <w:pStyle w:val="null3"/>
        <w:ind w:firstLine="480"/>
      </w:pPr>
      <w:r>
        <w:rPr/>
        <w:t>二十二、需要采购人提供的附加条件</w:t>
      </w:r>
    </w:p>
    <w:p>
      <w:pPr>
        <w:pStyle w:val="null3"/>
        <w:ind w:firstLine="480"/>
      </w:pPr>
      <w:r>
        <w:rPr/>
        <w:t>二十三、询问函、质疑函、投诉书格式</w:t>
      </w:r>
    </w:p>
    <w:p>
      <w:pPr>
        <w:pStyle w:val="null3"/>
        <w:ind w:firstLine="480"/>
      </w:pPr>
      <w:r>
        <w:rPr/>
        <w:t>二十四、项目实施方案、质量保证及售后服务承诺等</w:t>
      </w:r>
    </w:p>
    <w:p>
      <w:pPr>
        <w:pStyle w:val="null3"/>
        <w:ind w:firstLine="480"/>
      </w:pPr>
      <w:r>
        <w:rPr/>
        <w:t>二十五、附件</w:t>
      </w:r>
    </w:p>
    <w:p>
      <w:pPr>
        <w:pStyle w:val="null3"/>
        <w:ind w:firstLine="480"/>
      </w:pPr>
      <w:r>
        <w:rPr/>
        <w:t>二十六、政府采购履约担保函、采购合同履约保险凭证</w:t>
      </w:r>
    </w:p>
    <w:p>
      <w:pPr>
        <w:pStyle w:val="null3"/>
        <w:ind w:firstLine="480"/>
      </w:pPr>
      <w:r>
        <w:rPr/>
        <w:t xml:space="preserve">  </w:t>
      </w:r>
    </w:p>
    <w:p>
      <w:pPr>
        <w:pStyle w:val="null3"/>
        <w:outlineLvl w:val="2"/>
      </w:pPr>
      <w:r>
        <w:rPr>
          <w:sz w:val="28"/>
          <w:b/>
        </w:rPr>
        <w:t>格式一：</w:t>
      </w:r>
    </w:p>
    <w:p>
      <w:pPr>
        <w:pStyle w:val="null3"/>
        <w:jc w:val="center"/>
        <w:outlineLvl w:val="3"/>
      </w:pPr>
      <w:r>
        <w:rPr>
          <w:sz w:val="24"/>
          <w:b/>
        </w:rPr>
        <w:t>响 应 承 诺 函</w:t>
      </w:r>
    </w:p>
    <w:p>
      <w:pPr>
        <w:pStyle w:val="null3"/>
        <w:ind w:firstLine="480"/>
      </w:pPr>
      <w:r>
        <w:rPr/>
        <w:t xml:space="preserve"> 致：</w:t>
      </w:r>
      <w:r>
        <w:rPr/>
        <w:t>广东省建东工程监理有限公司中山分公司</w:t>
      </w:r>
    </w:p>
    <w:p>
      <w:pPr>
        <w:pStyle w:val="null3"/>
        <w:ind w:firstLine="480"/>
      </w:pPr>
      <w:r>
        <w:rPr/>
        <w:t xml:space="preserve"> 你方组织的</w:t>
      </w:r>
      <w:r>
        <w:rPr>
          <w:u w:val="single"/>
        </w:rPr>
        <w:t>“</w:t>
      </w:r>
      <w:r>
        <w:rPr>
          <w:u w:val="single"/>
        </w:rPr>
        <w:t>民众街道民众分局视频监控运维升级改造项目</w:t>
      </w:r>
      <w:r>
        <w:rPr>
          <w:u w:val="single"/>
        </w:rPr>
        <w:t>”</w:t>
      </w:r>
      <w:r>
        <w:rPr/>
        <w:t>项目的竞争性磋商[采购项目编号为：</w:t>
      </w:r>
      <w:r>
        <w:rPr>
          <w:u w:val="single"/>
        </w:rPr>
        <w:t>ZSJD25ZC0118</w:t>
      </w:r>
      <w:r>
        <w:rPr/>
        <w:t>]，我方愿参与响应。</w:t>
      </w:r>
    </w:p>
    <w:p>
      <w:pPr>
        <w:pStyle w:val="null3"/>
        <w:ind w:firstLine="480"/>
      </w:pPr>
      <w:r>
        <w:rPr/>
        <w:t>我方确认收到贵方提供的</w:t>
      </w:r>
      <w:r>
        <w:rPr>
          <w:u w:val="single"/>
        </w:rPr>
        <w:t>“</w:t>
      </w:r>
      <w:r>
        <w:rPr>
          <w:u w:val="single"/>
        </w:rPr>
        <w:t>民众街道民众分局视频监控运维升级改造项目</w:t>
      </w:r>
      <w:r>
        <w:rPr>
          <w:u w:val="single"/>
        </w:rPr>
        <w:t>”</w:t>
      </w:r>
      <w:r>
        <w:rPr/>
        <w:t>项目的磋商文件的全部内容。</w:t>
      </w:r>
    </w:p>
    <w:p>
      <w:pPr>
        <w:pStyle w:val="null3"/>
        <w:ind w:firstLine="480"/>
      </w:pPr>
      <w:r>
        <w:rPr/>
        <w:t xml:space="preserve"> 我方在参与响应前已详细研究了磋商文件的所有内容，包括澄清、修改文件（如果有）和所有已提供的参考资料以及有关附件。</w:t>
      </w:r>
    </w:p>
    <w:p>
      <w:pPr>
        <w:pStyle w:val="null3"/>
        <w:ind w:firstLine="480"/>
      </w:pPr>
      <w:r>
        <w:rPr>
          <w:u w:val="single"/>
        </w:rPr>
        <w:t>(供应商名称)</w:t>
      </w:r>
      <w:r>
        <w:rPr/>
        <w:t>作为供应商正式授权</w:t>
      </w:r>
      <w:r>
        <w:rPr>
          <w:u w:val="single"/>
        </w:rPr>
        <w:t>(授权代表全名,职务)</w:t>
      </w:r>
      <w:r>
        <w:rPr/>
        <w:t>代表我方全权处理有关本响应的一切事宜。</w:t>
      </w:r>
    </w:p>
    <w:p>
      <w:pPr>
        <w:pStyle w:val="null3"/>
        <w:ind w:firstLine="480"/>
      </w:pPr>
      <w:r>
        <w:rPr/>
        <w:t>我方已完全明白磋商文件的所有条款要求，并申明如下：</w:t>
      </w:r>
    </w:p>
    <w:p>
      <w:pPr>
        <w:pStyle w:val="null3"/>
        <w:ind w:firstLine="480"/>
      </w:pPr>
      <w:r>
        <w:rPr/>
        <w:t>（一）按磋商文件提供全部标的的磋商总价详见《首轮报价表》。</w:t>
      </w:r>
    </w:p>
    <w:p>
      <w:pPr>
        <w:pStyle w:val="null3"/>
        <w:ind w:firstLine="480"/>
      </w:pPr>
      <w:r>
        <w:rPr/>
        <w:t xml:space="preserve"> （二）本响应文件的有效期为</w:t>
      </w:r>
      <w:r>
        <w:rPr/>
        <w:t>从提交投标（响应）文件的截止之日起90日历天</w:t>
      </w:r>
      <w:r>
        <w:rPr/>
        <w:t>。在此提交的资格证明文件均至响应截止日有效，如有在响应有效期内失效的，我方承诺在成交后补齐一切手续，保证所有资格证明文件直至采购合同终止日有效。</w:t>
      </w:r>
    </w:p>
    <w:p>
      <w:pPr>
        <w:pStyle w:val="null3"/>
        <w:ind w:firstLine="480"/>
      </w:pPr>
      <w:r>
        <w:rPr/>
        <w:t>（三）我方明白并同意，在规定的开启日之后，响应有效期之内撤回响应或成交后不按规定与采购人签订合同或不提交履约保证金, 则贵方将不予退还磋商保证金。</w:t>
      </w:r>
    </w:p>
    <w:p>
      <w:pPr>
        <w:pStyle w:val="null3"/>
        <w:ind w:firstLine="480"/>
      </w:pPr>
      <w:r>
        <w:rPr/>
        <w:t>（四）我方愿意向贵方提供任何与本项报价有关的数据、情况和技术资料。若贵方需要，我方愿意提供我方作出的一切承诺的证明材料。</w:t>
      </w:r>
    </w:p>
    <w:p>
      <w:pPr>
        <w:pStyle w:val="null3"/>
        <w:ind w:firstLine="480"/>
      </w:pPr>
      <w:r>
        <w:rPr/>
        <w:t>（五）我方理解贵方不一定接受最低磋商价或任何贵方可能收到的响应。</w:t>
      </w:r>
    </w:p>
    <w:p>
      <w:pPr>
        <w:pStyle w:val="null3"/>
        <w:ind w:firstLine="480"/>
      </w:pPr>
      <w:r>
        <w:rPr/>
        <w:t>（六）我方如果成交，将保证履行磋商文件及其澄清、修改文件（如果有）中的全部责任和义务，按质、按量、按期完成《采购需求》及《合同书》中的全部任务。</w:t>
      </w:r>
    </w:p>
    <w:p>
      <w:pPr>
        <w:pStyle w:val="null3"/>
        <w:ind w:firstLine="480"/>
      </w:pPr>
      <w:r>
        <w:rPr/>
        <w:t>（七）我方作为法律、财务和运作上独立于采购人、采购代理机构的供应商，在此保证所提交的所有文件和全部说明是真实的和正确的。</w:t>
      </w:r>
    </w:p>
    <w:p>
      <w:pPr>
        <w:pStyle w:val="null3"/>
        <w:ind w:firstLine="480"/>
      </w:pPr>
      <w:r>
        <w:rPr/>
        <w:t>（八）我方磋商报价已包含应向知识产权所有权人支付的所有相关税费，并保证采购人在中国使用我方提供的货物时，如有第三方提出侵犯其知识产权主张的，责任由我方承担。</w:t>
      </w:r>
    </w:p>
    <w:p>
      <w:pPr>
        <w:pStyle w:val="null3"/>
        <w:ind w:firstLine="480"/>
      </w:pPr>
      <w:r>
        <w:rPr/>
        <w:t>（九）我方接受采购人委托向贵方支付代理服务费，项目总报价已包含代理服务费，如果被确定为成交供应商，承诺向贵方足额支付。（若采购人支付代理服务费，则此条不适用）</w:t>
      </w:r>
    </w:p>
    <w:p>
      <w:pPr>
        <w:pStyle w:val="null3"/>
        <w:ind w:firstLine="480"/>
      </w:pPr>
      <w:r>
        <w:rPr/>
        <w:t>（十）我方承诺遵守《中华人民共和国民法典》有关规定和《中华人民共和国妇女权益保障法》中关于“劳动和社会保障权益”的有关要求。</w:t>
      </w:r>
    </w:p>
    <w:p>
      <w:pPr>
        <w:pStyle w:val="null3"/>
        <w:ind w:firstLine="480"/>
      </w:pPr>
      <w:r>
        <w:rPr/>
        <w:t>（十一）我方与其他供应商不存在单位负责人为同一人或者存在直接控股、管理关系。</w:t>
      </w:r>
    </w:p>
    <w:p>
      <w:pPr>
        <w:pStyle w:val="null3"/>
        <w:ind w:firstLine="480"/>
      </w:pPr>
      <w:r>
        <w:rPr/>
        <w:t>（十二）供应商未存在《政府采购法实施条例》第十八条第二款规定的情形：</w:t>
      </w:r>
    </w:p>
    <w:p>
      <w:pPr>
        <w:pStyle w:val="null3"/>
        <w:ind w:firstLine="480"/>
      </w:pPr>
      <w:r>
        <w:rPr/>
        <w:t>（1）对于除整体设计、规范编制或者项目管理、监理、检测等服务以外的采购项目：即未为本项目提供整体设计、规范编制或者项目管理、监理、检测等服务；</w:t>
      </w:r>
    </w:p>
    <w:p>
      <w:pPr>
        <w:pStyle w:val="null3"/>
        <w:ind w:firstLine="480"/>
      </w:pPr>
      <w:r>
        <w:rPr/>
        <w:t>（2）对于整体设计、规范编制或者项目管理、监理、检测等服务的项目：即未成为本项目除前期整体设计、规范编制或者项目管理、监理、检测等服务以外的其它采购活动中标商（或成交商）；</w:t>
      </w:r>
    </w:p>
    <w:p>
      <w:pPr>
        <w:pStyle w:val="null3"/>
        <w:ind w:firstLine="480"/>
      </w:pPr>
      <w:r>
        <w:rPr/>
        <w:t>（3）对于设计施工一体化的项目：即未为本项目提供规范编制或者项目管理、监理、检测等服务。</w:t>
      </w:r>
    </w:p>
    <w:p>
      <w:pPr>
        <w:pStyle w:val="null3"/>
        <w:ind w:firstLine="480"/>
      </w:pPr>
      <w:r>
        <w:rPr/>
        <w:t>（十三）我方具备《中华人民共和国政府采购法》第二十二条规定的条件，声明如下：</w:t>
      </w:r>
    </w:p>
    <w:p>
      <w:pPr>
        <w:pStyle w:val="null3"/>
        <w:ind w:firstLine="480"/>
      </w:pPr>
      <w:r>
        <w:rPr/>
        <w:t xml:space="preserve"> （1）我方参加本项目政府采购活动前3年内在经营活动中没有以下违法记录：因违法经营受到刑事处罚或者责令停产停业、吊销许可证或者执照、较大数额罚款等行政处罚。</w:t>
      </w:r>
    </w:p>
    <w:p>
      <w:pPr>
        <w:pStyle w:val="null3"/>
        <w:ind w:firstLine="480"/>
      </w:pPr>
      <w:r>
        <w:rPr/>
        <w:t>（2）我方符合法律、行政法规规定的其他条件。</w:t>
      </w:r>
    </w:p>
    <w:p>
      <w:pPr>
        <w:pStyle w:val="null3"/>
        <w:ind w:firstLine="480"/>
      </w:pPr>
      <w:r>
        <w:rPr/>
        <w:t>（十四）如我方成交，将保证响应文件所提供的材料（包括需要年审、继续教育等完成后才能执业的行政许可、人员证书等情形），如果有效期未能覆盖项目（包组）合同履行期的，将提前按规定办理延期手续，确保合同顺利履行。</w:t>
      </w:r>
    </w:p>
    <w:p>
      <w:pPr>
        <w:pStyle w:val="null3"/>
        <w:ind w:firstLine="480"/>
      </w:pPr>
      <w:r>
        <w:rPr/>
        <w:t>（十五）我方对在本函及响应文件中所作的所有承诺承担法律责任。</w:t>
      </w:r>
    </w:p>
    <w:p>
      <w:pPr>
        <w:pStyle w:val="null3"/>
        <w:ind w:firstLine="480"/>
      </w:pPr>
      <w:r>
        <w:rPr/>
        <w:t>（十六）以上内容如有虚假或与事实不符的，磋商小组可将我方做无效响应处理，我方愿意承担相应的法律责任。</w:t>
      </w:r>
    </w:p>
    <w:p>
      <w:pPr>
        <w:pStyle w:val="null3"/>
        <w:ind w:firstLine="480"/>
      </w:pPr>
      <w:r>
        <w:rPr/>
        <w:t>（十七）所有与本磋商有关的函件请发往下列地址：</w:t>
      </w:r>
    </w:p>
    <w:p>
      <w:pPr>
        <w:pStyle w:val="null3"/>
        <w:ind w:firstLine="480"/>
      </w:pPr>
      <w:r>
        <w:rPr/>
        <w:t xml:space="preserve"> 地 址：__________________，邮政编码：__________________</w:t>
      </w:r>
    </w:p>
    <w:p>
      <w:pPr>
        <w:pStyle w:val="null3"/>
        <w:ind w:firstLine="480"/>
      </w:pPr>
      <w:r>
        <w:rPr/>
        <w:t xml:space="preserve"> 电 话：__________________</w:t>
      </w:r>
    </w:p>
    <w:p>
      <w:pPr>
        <w:pStyle w:val="null3"/>
        <w:ind w:firstLine="480"/>
      </w:pPr>
      <w:r>
        <w:rPr/>
        <w:t xml:space="preserve"> 传 真：__________________，电子邮箱：__________________</w:t>
      </w:r>
    </w:p>
    <w:p>
      <w:pPr>
        <w:pStyle w:val="null3"/>
        <w:ind w:firstLine="480"/>
      </w:pPr>
      <w:r>
        <w:rPr/>
        <w:t xml:space="preserve"> 代表姓名：__________________，职 务：__________________</w:t>
      </w:r>
    </w:p>
    <w:p>
      <w:pPr>
        <w:pStyle w:val="null3"/>
        <w:jc w:val="right"/>
      </w:pPr>
      <w:r>
        <w:rPr/>
        <w:t xml:space="preserve"> 法定代表人或授权委托人（签字）：__________________</w:t>
      </w:r>
    </w:p>
    <w:p>
      <w:pPr>
        <w:pStyle w:val="null3"/>
        <w:jc w:val="right"/>
      </w:pPr>
      <w:r>
        <w:rPr/>
        <w:t xml:space="preserve"> 加盖公章：__________________</w:t>
      </w:r>
    </w:p>
    <w:p>
      <w:pPr>
        <w:pStyle w:val="null3"/>
        <w:jc w:val="right"/>
      </w:pPr>
      <w:r>
        <w:rPr/>
        <w:t xml:space="preserve"> 日  期：__________________</w:t>
      </w:r>
    </w:p>
    <w:p>
      <w:pPr>
        <w:pStyle w:val="null3"/>
        <w:ind w:firstLine="480"/>
      </w:pPr>
      <w:r>
        <w:rPr/>
        <w:t xml:space="preserve">  </w:t>
      </w:r>
    </w:p>
    <w:p>
      <w:pPr>
        <w:pStyle w:val="null3"/>
        <w:outlineLvl w:val="2"/>
      </w:pPr>
      <w:r>
        <w:rPr>
          <w:sz w:val="28"/>
          <w:b/>
        </w:rPr>
        <w:t>格式二：</w:t>
      </w:r>
    </w:p>
    <w:p>
      <w:pPr>
        <w:pStyle w:val="null3"/>
        <w:jc w:val="center"/>
        <w:outlineLvl w:val="3"/>
      </w:pPr>
      <w:r>
        <w:rPr>
          <w:sz w:val="24"/>
          <w:b/>
        </w:rPr>
        <w:t>首轮报价表</w:t>
      </w:r>
    </w:p>
    <w:p>
      <w:pPr>
        <w:pStyle w:val="null3"/>
        <w:ind w:firstLine="480"/>
      </w:pPr>
      <w:r>
        <w:rPr/>
        <w:t xml:space="preserve"> 注:采用电子响应的项目无需编制该表格，响应供应商应在投标客户端【报价部分】进行填写，投标客户端软件将自动根据供应商填写信息在线生成首轮报价表﹐若在响应文件中出现非系统生成的首轮报价表﹐且与投标客户端生成的首轮报价表信息内容不一致，以投标客户端在线填写报价并生成的内容为准。（下列表样仅供参考）</w:t>
      </w:r>
      <w:r>
        <w:br/>
      </w:r>
    </w:p>
    <w:p>
      <w:pPr>
        <w:pStyle w:val="null3"/>
        <w:ind w:firstLine="480"/>
      </w:pPr>
      <w:r>
        <w:rPr/>
        <w:t>采购项目编号：</w:t>
      </w:r>
    </w:p>
    <w:p>
      <w:pPr>
        <w:pStyle w:val="null3"/>
        <w:ind w:firstLine="480"/>
      </w:pPr>
      <w:r>
        <w:rPr/>
        <w:t>项目名称：</w:t>
      </w:r>
    </w:p>
    <w:p>
      <w:pPr>
        <w:pStyle w:val="null3"/>
        <w:ind w:firstLine="480"/>
      </w:pPr>
      <w:r>
        <w:rPr/>
        <w:t>响应供应商名称：</w:t>
      </w:r>
    </w:p>
    <w:tbl>
      <w:tblPr>
        <w:tblW w:w="0" w:type="auto"/>
        <w:tblBorders>
          <w:top w:val="single"/>
          <w:left w:val="single"/>
          <w:bottom w:val="single"/>
          <w:right w:val="single"/>
          <w:insideH w:val="single"/>
          <w:insideV w:val="single"/>
        </w:tblBorders>
      </w:tblPr>
      <w:tblGrid>
        <w:gridCol w:w="1661"/>
        <w:gridCol w:w="1661"/>
        <w:gridCol w:w="1661"/>
        <w:gridCol w:w="1661"/>
        <w:gridCol w:w="1661"/>
      </w:tblGrid>
      <w:tr>
        <w:tc>
          <w:tcPr>
            <w:tcW w:type="dxa" w:w="1661"/>
          </w:tcPr>
          <w:p>
            <w:pPr>
              <w:pStyle w:val="null3"/>
            </w:pPr>
            <w:r>
              <w:rPr/>
              <w:t xml:space="preserve"> 序号</w:t>
            </w:r>
          </w:p>
        </w:tc>
        <w:tc>
          <w:tcPr>
            <w:tcW w:type="dxa" w:w="1661"/>
          </w:tcPr>
          <w:p>
            <w:pPr>
              <w:pStyle w:val="null3"/>
            </w:pPr>
            <w:r>
              <w:rPr/>
              <w:t xml:space="preserve"> 采购项目名称/采购包名称</w:t>
            </w:r>
          </w:p>
        </w:tc>
        <w:tc>
          <w:tcPr>
            <w:tcW w:type="dxa" w:w="1661"/>
          </w:tcPr>
          <w:p>
            <w:pPr>
              <w:pStyle w:val="null3"/>
            </w:pPr>
            <w:r>
              <w:rPr/>
              <w:t xml:space="preserve"> 响应报价（元/%）</w:t>
            </w:r>
          </w:p>
        </w:tc>
        <w:tc>
          <w:tcPr>
            <w:tcW w:type="dxa" w:w="1661"/>
          </w:tcPr>
          <w:p>
            <w:pPr>
              <w:pStyle w:val="null3"/>
            </w:pPr>
            <w:r>
              <w:rPr/>
              <w:t xml:space="preserve"> 交货或服务期</w:t>
            </w:r>
          </w:p>
        </w:tc>
        <w:tc>
          <w:tcPr>
            <w:tcW w:type="dxa" w:w="1661"/>
          </w:tcPr>
          <w:p>
            <w:pPr>
              <w:pStyle w:val="null3"/>
            </w:pPr>
            <w:r>
              <w:rPr/>
              <w:t xml:space="preserve"> 交货或服务地点</w:t>
            </w:r>
          </w:p>
        </w:tc>
      </w:tr>
      <w:tr>
        <w:tc>
          <w:tcPr>
            <w:tcW w:type="dxa" w:w="1661"/>
          </w:tcPr>
          <w:p>
            <w:pPr>
              <w:pStyle w:val="null3"/>
              <w:jc w:val="center"/>
            </w:pPr>
            <w:r>
              <w:rPr/>
              <w:t xml:space="preserve"> 1</w:t>
            </w:r>
          </w:p>
        </w:tc>
        <w:tc>
          <w:tcPr>
            <w:tcW w:type="dxa" w:w="1661"/>
          </w:tcPr>
          <w:p/>
        </w:tc>
        <w:tc>
          <w:tcPr>
            <w:tcW w:type="dxa" w:w="1661"/>
          </w:tcPr>
          <w:p/>
        </w:tc>
        <w:tc>
          <w:tcPr>
            <w:tcW w:type="dxa" w:w="1661"/>
          </w:tcPr>
          <w:p/>
        </w:tc>
        <w:tc>
          <w:tcPr>
            <w:tcW w:type="dxa" w:w="1661"/>
          </w:tcPr>
          <w:p/>
        </w:tc>
      </w:tr>
    </w:tbl>
    <w:p>
      <w:pPr>
        <w:pStyle w:val="null3"/>
        <w:jc w:val="right"/>
      </w:pPr>
      <w:r>
        <w:rPr/>
        <w:t xml:space="preserve"> 供应商签章：__________________</w:t>
      </w:r>
    </w:p>
    <w:p>
      <w:pPr>
        <w:pStyle w:val="null3"/>
        <w:jc w:val="right"/>
      </w:pPr>
      <w:r>
        <w:rPr/>
        <w:t>日期： 年 月 日</w:t>
      </w:r>
    </w:p>
    <w:p>
      <w:pPr>
        <w:pStyle w:val="null3"/>
        <w:ind w:firstLine="480"/>
      </w:pPr>
      <w:r>
        <w:rPr/>
        <w:t xml:space="preserve">  </w:t>
      </w:r>
    </w:p>
    <w:p>
      <w:pPr>
        <w:pStyle w:val="null3"/>
        <w:outlineLvl w:val="2"/>
      </w:pPr>
      <w:r>
        <w:rPr>
          <w:sz w:val="28"/>
          <w:b/>
        </w:rPr>
        <w:t>格式三：</w:t>
      </w:r>
    </w:p>
    <w:p>
      <w:pPr>
        <w:pStyle w:val="null3"/>
        <w:jc w:val="center"/>
        <w:outlineLvl w:val="3"/>
      </w:pPr>
      <w:r>
        <w:rPr>
          <w:sz w:val="24"/>
          <w:b/>
        </w:rPr>
        <w:t>分项报价表</w:t>
      </w:r>
    </w:p>
    <w:p>
      <w:pPr>
        <w:pStyle w:val="null3"/>
        <w:ind w:firstLine="480"/>
      </w:pPr>
      <w:r>
        <w:rPr/>
        <w:t xml:space="preserve"> 注:采用电子响应的项目无需编制该表格，响应供应商应在投标客户端【报价部分】进行填写，投标客户端软件将自动根据供应商填写信息在线生成分项报价表，若在响应文件中出现非系统生成的分项报价表，且与投标客户端生成的分项报价表信息内容不一致，以投标客户端在线填写报价并生成的内容为准。（下列表样仅供参考）</w:t>
      </w:r>
      <w:r>
        <w:br/>
      </w:r>
    </w:p>
    <w:p>
      <w:pPr>
        <w:pStyle w:val="null3"/>
        <w:ind w:firstLine="480"/>
      </w:pPr>
      <w:r>
        <w:rPr/>
        <w:t>采购项目编号：</w:t>
      </w:r>
    </w:p>
    <w:p>
      <w:pPr>
        <w:pStyle w:val="null3"/>
        <w:ind w:firstLine="480"/>
      </w:pPr>
      <w:r>
        <w:rPr/>
        <w:t>项目名称：</w:t>
      </w:r>
    </w:p>
    <w:p>
      <w:pPr>
        <w:pStyle w:val="null3"/>
        <w:ind w:firstLine="480"/>
      </w:pPr>
      <w:r>
        <w:rPr/>
        <w:t>响应供应商名称：</w:t>
      </w:r>
    </w:p>
    <w:p>
      <w:pPr>
        <w:pStyle w:val="null3"/>
        <w:ind w:firstLine="480"/>
      </w:pPr>
      <w:r>
        <w:rPr/>
        <w:t>采购包：</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pPr>
            <w:r>
              <w:rPr/>
              <w:t xml:space="preserve"> 品目号</w:t>
            </w:r>
          </w:p>
        </w:tc>
        <w:tc>
          <w:tcPr>
            <w:tcW w:type="dxa" w:w="831"/>
          </w:tcPr>
          <w:p>
            <w:pPr>
              <w:pStyle w:val="null3"/>
            </w:pPr>
            <w:r>
              <w:rPr/>
              <w:t xml:space="preserve"> 序号</w:t>
            </w:r>
          </w:p>
        </w:tc>
        <w:tc>
          <w:tcPr>
            <w:tcW w:type="dxa" w:w="831"/>
          </w:tcPr>
          <w:p>
            <w:pPr>
              <w:pStyle w:val="null3"/>
            </w:pPr>
            <w:r>
              <w:rPr/>
              <w:t xml:space="preserve"> 货物名称</w:t>
            </w:r>
          </w:p>
        </w:tc>
        <w:tc>
          <w:tcPr>
            <w:tcW w:type="dxa" w:w="831"/>
          </w:tcPr>
          <w:p>
            <w:pPr>
              <w:pStyle w:val="null3"/>
            </w:pPr>
            <w:r>
              <w:rPr/>
              <w:t xml:space="preserve"> 规格型号</w:t>
            </w:r>
          </w:p>
        </w:tc>
        <w:tc>
          <w:tcPr>
            <w:tcW w:type="dxa" w:w="831"/>
          </w:tcPr>
          <w:p>
            <w:pPr>
              <w:pStyle w:val="null3"/>
            </w:pPr>
            <w:r>
              <w:rPr/>
              <w:t xml:space="preserve"> 品牌</w:t>
            </w:r>
          </w:p>
        </w:tc>
        <w:tc>
          <w:tcPr>
            <w:tcW w:type="dxa" w:w="831"/>
          </w:tcPr>
          <w:p>
            <w:pPr>
              <w:pStyle w:val="null3"/>
            </w:pPr>
            <w:r>
              <w:rPr/>
              <w:t xml:space="preserve"> 产地</w:t>
            </w:r>
          </w:p>
        </w:tc>
        <w:tc>
          <w:tcPr>
            <w:tcW w:type="dxa" w:w="831"/>
          </w:tcPr>
          <w:p>
            <w:pPr>
              <w:pStyle w:val="null3"/>
            </w:pPr>
            <w:r>
              <w:rPr/>
              <w:t xml:space="preserve"> 制造商名称</w:t>
            </w:r>
          </w:p>
        </w:tc>
        <w:tc>
          <w:tcPr>
            <w:tcW w:type="dxa" w:w="831"/>
          </w:tcPr>
          <w:p>
            <w:pPr>
              <w:pStyle w:val="null3"/>
            </w:pPr>
            <w:r>
              <w:rPr/>
              <w:t xml:space="preserve"> 单价</w:t>
            </w:r>
          </w:p>
        </w:tc>
        <w:tc>
          <w:tcPr>
            <w:tcW w:type="dxa" w:w="831"/>
          </w:tcPr>
          <w:p>
            <w:pPr>
              <w:pStyle w:val="null3"/>
            </w:pPr>
            <w:r>
              <w:rPr/>
              <w:t xml:space="preserve"> 数量</w:t>
            </w:r>
          </w:p>
        </w:tc>
        <w:tc>
          <w:tcPr>
            <w:tcW w:type="dxa" w:w="831"/>
          </w:tcPr>
          <w:p>
            <w:pPr>
              <w:pStyle w:val="null3"/>
            </w:pPr>
            <w:r>
              <w:rPr/>
              <w:t xml:space="preserve"> 总价</w:t>
            </w:r>
          </w:p>
        </w:tc>
      </w:tr>
      <w:tr>
        <w:tc>
          <w:tcPr>
            <w:tcW w:type="dxa" w:w="831"/>
          </w:tcPr>
          <w:p>
            <w:pPr>
              <w:pStyle w:val="null3"/>
              <w:jc w:val="center"/>
            </w:pPr>
            <w:r>
              <w:rPr/>
              <w:t xml:space="preserve"> 1</w:t>
            </w: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r>
    </w:tbl>
    <w:p>
      <w:pPr>
        <w:pStyle w:val="null3"/>
      </w:pPr>
      <w:r>
        <w:br/>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pPr>
            <w:r>
              <w:rPr/>
              <w:t xml:space="preserve"> 品目号</w:t>
            </w:r>
          </w:p>
        </w:tc>
        <w:tc>
          <w:tcPr>
            <w:tcW w:type="dxa" w:w="831"/>
          </w:tcPr>
          <w:p>
            <w:pPr>
              <w:pStyle w:val="null3"/>
            </w:pPr>
            <w:r>
              <w:rPr/>
              <w:t xml:space="preserve"> 序号</w:t>
            </w:r>
          </w:p>
        </w:tc>
        <w:tc>
          <w:tcPr>
            <w:tcW w:type="dxa" w:w="831"/>
          </w:tcPr>
          <w:p>
            <w:pPr>
              <w:pStyle w:val="null3"/>
            </w:pPr>
            <w:r>
              <w:rPr/>
              <w:t xml:space="preserve"> 服务名称</w:t>
            </w:r>
          </w:p>
        </w:tc>
        <w:tc>
          <w:tcPr>
            <w:tcW w:type="dxa" w:w="831"/>
          </w:tcPr>
          <w:p>
            <w:pPr>
              <w:pStyle w:val="null3"/>
            </w:pPr>
            <w:r>
              <w:rPr/>
              <w:t xml:space="preserve"> 服务范围</w:t>
            </w:r>
          </w:p>
        </w:tc>
        <w:tc>
          <w:tcPr>
            <w:tcW w:type="dxa" w:w="831"/>
          </w:tcPr>
          <w:p>
            <w:pPr>
              <w:pStyle w:val="null3"/>
            </w:pPr>
            <w:r>
              <w:rPr/>
              <w:t xml:space="preserve"> 服务要求</w:t>
            </w:r>
          </w:p>
        </w:tc>
        <w:tc>
          <w:tcPr>
            <w:tcW w:type="dxa" w:w="831"/>
          </w:tcPr>
          <w:p>
            <w:pPr>
              <w:pStyle w:val="null3"/>
            </w:pPr>
            <w:r>
              <w:rPr/>
              <w:t xml:space="preserve"> 服务时间</w:t>
            </w:r>
          </w:p>
        </w:tc>
        <w:tc>
          <w:tcPr>
            <w:tcW w:type="dxa" w:w="831"/>
          </w:tcPr>
          <w:p>
            <w:pPr>
              <w:pStyle w:val="null3"/>
            </w:pPr>
            <w:r>
              <w:rPr/>
              <w:t xml:space="preserve"> 服务标准</w:t>
            </w:r>
          </w:p>
        </w:tc>
        <w:tc>
          <w:tcPr>
            <w:tcW w:type="dxa" w:w="831"/>
          </w:tcPr>
          <w:p>
            <w:pPr>
              <w:pStyle w:val="null3"/>
            </w:pPr>
            <w:r>
              <w:rPr/>
              <w:t xml:space="preserve"> 单价</w:t>
            </w:r>
          </w:p>
        </w:tc>
        <w:tc>
          <w:tcPr>
            <w:tcW w:type="dxa" w:w="831"/>
          </w:tcPr>
          <w:p>
            <w:pPr>
              <w:pStyle w:val="null3"/>
            </w:pPr>
            <w:r>
              <w:rPr/>
              <w:t xml:space="preserve"> 数量</w:t>
            </w:r>
          </w:p>
        </w:tc>
        <w:tc>
          <w:tcPr>
            <w:tcW w:type="dxa" w:w="831"/>
          </w:tcPr>
          <w:p>
            <w:pPr>
              <w:pStyle w:val="null3"/>
            </w:pPr>
            <w:r>
              <w:rPr/>
              <w:t xml:space="preserve"> 总价</w:t>
            </w:r>
          </w:p>
        </w:tc>
      </w:tr>
      <w:tr>
        <w:tc>
          <w:tcPr>
            <w:tcW w:type="dxa" w:w="831"/>
          </w:tcPr>
          <w:p>
            <w:pPr>
              <w:pStyle w:val="null3"/>
              <w:jc w:val="center"/>
            </w:pPr>
            <w:r>
              <w:rPr/>
              <w:t xml:space="preserve"> 1</w:t>
            </w: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r>
    </w:tbl>
    <w:p>
      <w:pPr>
        <w:pStyle w:val="null3"/>
        <w:jc w:val="right"/>
      </w:pPr>
      <w:r>
        <w:rPr/>
        <w:t xml:space="preserve"> 供应商签章：__________________</w:t>
      </w:r>
    </w:p>
    <w:p>
      <w:pPr>
        <w:pStyle w:val="null3"/>
        <w:jc w:val="right"/>
      </w:pPr>
      <w:r>
        <w:rPr/>
        <w:t>日期： 年 月 日</w:t>
      </w:r>
    </w:p>
    <w:p>
      <w:pPr>
        <w:pStyle w:val="null3"/>
        <w:ind w:firstLine="480"/>
      </w:pPr>
      <w:r>
        <w:rPr/>
        <w:t xml:space="preserve">  </w:t>
      </w:r>
    </w:p>
    <w:p>
      <w:pPr>
        <w:pStyle w:val="null3"/>
        <w:outlineLvl w:val="2"/>
      </w:pPr>
      <w:r>
        <w:rPr>
          <w:sz w:val="28"/>
          <w:b/>
        </w:rPr>
        <w:t>格式四：</w:t>
      </w:r>
    </w:p>
    <w:p>
      <w:pPr>
        <w:pStyle w:val="null3"/>
        <w:jc w:val="center"/>
        <w:outlineLvl w:val="3"/>
      </w:pPr>
      <w:r>
        <w:rPr>
          <w:sz w:val="24"/>
          <w:b/>
        </w:rPr>
        <w:t>政策适用性说明</w:t>
      </w:r>
    </w:p>
    <w:p>
      <w:pPr>
        <w:pStyle w:val="null3"/>
        <w:ind w:firstLine="480"/>
      </w:pPr>
      <w:r>
        <w:rPr/>
        <w:t>按照政府采购有关政策的要求，在本次的技术方案中，采用符合政策的小型或微型企业产品、节能产品、环境标志产品，主要产品与核心技术介绍说明如下：</w:t>
      </w:r>
    </w:p>
    <w:tbl>
      <w:tblPr>
        <w:tblW w:w="0" w:type="auto"/>
        <w:tblBorders>
          <w:top w:val="single"/>
          <w:left w:val="single"/>
          <w:bottom w:val="single"/>
          <w:right w:val="single"/>
          <w:insideH w:val="single"/>
          <w:insideV w:val="single"/>
        </w:tblBorders>
      </w:tblPr>
      <w:tblGrid>
        <w:gridCol w:w="1038"/>
        <w:gridCol w:w="1038"/>
        <w:gridCol w:w="1038"/>
        <w:gridCol w:w="1038"/>
        <w:gridCol w:w="1038"/>
        <w:gridCol w:w="1038"/>
        <w:gridCol w:w="1038"/>
        <w:gridCol w:w="1038"/>
      </w:tblGrid>
      <w:tr>
        <w:tc>
          <w:tcPr>
            <w:tcW w:type="dxa" w:w="1038"/>
          </w:tcPr>
          <w:p>
            <w:pPr>
              <w:pStyle w:val="null3"/>
            </w:pPr>
            <w:r>
              <w:rPr/>
              <w:t xml:space="preserve"> 序号</w:t>
            </w:r>
          </w:p>
        </w:tc>
        <w:tc>
          <w:tcPr>
            <w:tcW w:type="dxa" w:w="1038"/>
          </w:tcPr>
          <w:p>
            <w:pPr>
              <w:pStyle w:val="null3"/>
            </w:pPr>
            <w:r>
              <w:rPr/>
              <w:t xml:space="preserve"> 主要产品/技术名称（规格型号、注册商标）</w:t>
            </w:r>
          </w:p>
        </w:tc>
        <w:tc>
          <w:tcPr>
            <w:tcW w:type="dxa" w:w="1038"/>
          </w:tcPr>
          <w:p>
            <w:pPr>
              <w:pStyle w:val="null3"/>
            </w:pPr>
            <w:r>
              <w:rPr/>
              <w:t xml:space="preserve"> 制造商(开发商)</w:t>
            </w:r>
          </w:p>
        </w:tc>
        <w:tc>
          <w:tcPr>
            <w:tcW w:type="dxa" w:w="1038"/>
          </w:tcPr>
          <w:p>
            <w:pPr>
              <w:pStyle w:val="null3"/>
            </w:pPr>
            <w:r>
              <w:rPr/>
              <w:t xml:space="preserve"> 制造商企业类型</w:t>
            </w:r>
          </w:p>
        </w:tc>
        <w:tc>
          <w:tcPr>
            <w:tcW w:type="dxa" w:w="1038"/>
          </w:tcPr>
          <w:p>
            <w:pPr>
              <w:pStyle w:val="null3"/>
            </w:pPr>
            <w:r>
              <w:rPr/>
              <w:t xml:space="preserve"> 节能产品</w:t>
            </w:r>
          </w:p>
        </w:tc>
        <w:tc>
          <w:tcPr>
            <w:tcW w:type="dxa" w:w="1038"/>
          </w:tcPr>
          <w:p>
            <w:pPr>
              <w:pStyle w:val="null3"/>
            </w:pPr>
            <w:r>
              <w:rPr/>
              <w:t xml:space="preserve"> 环境标志产品</w:t>
            </w:r>
          </w:p>
        </w:tc>
        <w:tc>
          <w:tcPr>
            <w:tcW w:type="dxa" w:w="1038"/>
          </w:tcPr>
          <w:p>
            <w:pPr>
              <w:pStyle w:val="null3"/>
            </w:pPr>
            <w:r>
              <w:rPr/>
              <w:t xml:space="preserve"> 认证证书编号</w:t>
            </w:r>
          </w:p>
        </w:tc>
        <w:tc>
          <w:tcPr>
            <w:tcW w:type="dxa" w:w="1038"/>
          </w:tcPr>
          <w:p>
            <w:pPr>
              <w:pStyle w:val="null3"/>
            </w:pPr>
            <w:r>
              <w:rPr/>
              <w:t xml:space="preserve"> 该产品报价在总报价中占比（%）</w:t>
            </w:r>
          </w:p>
        </w:tc>
      </w:tr>
      <w:tr>
        <w:tc>
          <w:tcPr>
            <w:tcW w:type="dxa" w:w="1038"/>
          </w:tcPr>
          <w:p>
            <w:pPr>
              <w:pStyle w:val="null3"/>
              <w:jc w:val="center"/>
            </w:pPr>
            <w:r>
              <w:rPr/>
              <w:t xml:space="preserve"> 1</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pStyle w:val="null3"/>
              <w:jc w:val="center"/>
            </w:pPr>
            <w:r>
              <w:rPr/>
              <w:t xml:space="preserve"> 2</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pStyle w:val="null3"/>
              <w:jc w:val="center"/>
            </w:pPr>
            <w:r>
              <w:rPr/>
              <w:t xml:space="preserve"> 3</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pStyle w:val="null3"/>
              <w:jc w:val="center"/>
            </w:pPr>
            <w:r>
              <w:rPr/>
              <w:t xml:space="preserve"> 4</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pStyle w:val="null3"/>
              <w:jc w:val="center"/>
            </w:pPr>
            <w:r>
              <w:rPr/>
              <w:t xml:space="preserve"> 5</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pStyle w:val="null3"/>
            </w:pPr>
            <w:r>
              <w:rPr/>
              <w:t xml:space="preserve"> ...</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bl>
    <w:p>
      <w:pPr>
        <w:pStyle w:val="null3"/>
        <w:ind w:firstLine="480"/>
      </w:pPr>
      <w:r>
        <w:rPr/>
        <w:t>注：</w:t>
      </w:r>
    </w:p>
    <w:p>
      <w:pPr>
        <w:pStyle w:val="null3"/>
        <w:ind w:firstLine="480"/>
      </w:pPr>
      <w:r>
        <w:rPr/>
        <w:t>1.制造商为小型或微型企业时才需要填“制造商企业类型”栏,填写内容为“小型”或“微型”；</w:t>
      </w:r>
    </w:p>
    <w:p>
      <w:pPr>
        <w:pStyle w:val="null3"/>
        <w:ind w:firstLine="480"/>
      </w:pPr>
      <w:r>
        <w:rPr/>
        <w:t>2.“节能产品、环境标志产品”须填写认证证书编号，并在对应“节能产品”、“环境标志产品”栏中勾选，同时提供有效期内的证书复印件（加盖供应商公章）</w:t>
      </w:r>
    </w:p>
    <w:p>
      <w:pPr>
        <w:pStyle w:val="null3"/>
        <w:jc w:val="right"/>
      </w:pPr>
      <w:r>
        <w:rPr/>
        <w:t xml:space="preserve"> 供应商名称（盖章）：__________________</w:t>
      </w:r>
    </w:p>
    <w:p>
      <w:pPr>
        <w:pStyle w:val="null3"/>
        <w:jc w:val="right"/>
      </w:pPr>
      <w:r>
        <w:rPr/>
        <w:t xml:space="preserve"> 日  期：__________________</w:t>
      </w:r>
    </w:p>
    <w:p>
      <w:pPr>
        <w:pStyle w:val="null3"/>
      </w:pPr>
      <w:r>
        <w:rPr/>
        <w:t xml:space="preserve">  </w:t>
      </w:r>
    </w:p>
    <w:p>
      <w:pPr>
        <w:pStyle w:val="null3"/>
        <w:outlineLvl w:val="2"/>
      </w:pPr>
      <w:r>
        <w:rPr>
          <w:sz w:val="28"/>
          <w:b/>
        </w:rPr>
        <w:t>格式五：关于符合本国产品标准的声明函等有关证明文件（如适用）</w:t>
      </w:r>
    </w:p>
    <w:p>
      <w:pPr>
        <w:pStyle w:val="null3"/>
        <w:ind w:firstLine="480"/>
      </w:pPr>
      <w:r>
        <w:rPr>
          <w:b/>
        </w:rPr>
        <w:t>注：</w:t>
      </w:r>
    </w:p>
    <w:p>
      <w:pPr>
        <w:pStyle w:val="null3"/>
        <w:spacing w:before="120" w:after="120"/>
        <w:ind w:firstLine="960"/>
      </w:pPr>
      <w:r>
        <w:rPr/>
        <w:t>1. 供应商提供本国产品应符合《国务院办公厅关于在政府采购中实施本国产品标准及相关政策的通知》（国办发〔2025〕34号），在投标文件中出具《关于符合本国产品标准的声明函》或财政部会同有关部门规定的有关证明文件；当采购项目或者采购包中含有多种产品的，供应商还应当提供《关于本国产品比例的承诺函》（见下附件3，格式内容仅供参考）</w:t>
      </w:r>
    </w:p>
    <w:p>
      <w:pPr>
        <w:pStyle w:val="null3"/>
        <w:spacing w:before="120" w:after="120"/>
        <w:ind w:firstLine="960"/>
      </w:pPr>
      <w:r>
        <w:rPr/>
        <w:t>2. 供应商提供虚假《声明函》、虚假证明文件谋取中标、成交的，依照政府采购法律法规规定追究相应责任。</w:t>
      </w:r>
    </w:p>
    <w:p>
      <w:pPr>
        <w:pStyle w:val="null3"/>
      </w:pPr>
      <w:r>
        <w:rPr>
          <w:sz w:val="28"/>
          <w:b/>
        </w:rPr>
        <w:t>附件1</w:t>
      </w:r>
    </w:p>
    <w:p>
      <w:pPr>
        <w:pStyle w:val="null3"/>
        <w:spacing w:before="120" w:after="240"/>
        <w:jc w:val="center"/>
        <w:outlineLvl w:val="3"/>
      </w:pPr>
      <w:r>
        <w:rPr>
          <w:sz w:val="24"/>
          <w:b/>
        </w:rPr>
        <w:t>中国境内生产的组件成本核算基本规则</w:t>
      </w:r>
    </w:p>
    <w:p>
      <w:pPr>
        <w:pStyle w:val="null3"/>
        <w:ind w:firstLine="480"/>
      </w:pPr>
      <w:r>
        <w:rPr/>
        <w:t>产品在中国境内生产的组件成本，一般按照其二级组件的相关成本进行核算。按照产品的一级组件进行成本核算能够满足中国境内生产的组件成本判定需求的，可以按照一级组件的相关成本进行核算。</w:t>
      </w:r>
    </w:p>
    <w:p>
      <w:pPr>
        <w:pStyle w:val="null3"/>
        <w:spacing w:before="120" w:after="120"/>
        <w:ind w:firstLine="480"/>
      </w:pPr>
      <w:r>
        <w:rPr/>
        <w:t>1. 产品的一级组件是指直接组成产品的组件。产品的二级组件是指直接组成产品一级组件的组件。一级组件不可分解的，视同二级组件。</w:t>
      </w:r>
    </w:p>
    <w:p>
      <w:pPr>
        <w:pStyle w:val="null3"/>
        <w:spacing w:before="120" w:after="120"/>
        <w:ind w:firstLine="480"/>
      </w:pPr>
      <w:r>
        <w:rPr/>
        <w:t>2. 二级组件在中国境内生产的，其全部成本计入中国境内生产的组件成本；二级组件不在中国境内生产的，其成本不计入中国境内生产的组件成本。</w:t>
      </w:r>
    </w:p>
    <w:p>
      <w:pPr>
        <w:pStyle w:val="null3"/>
        <w:spacing w:before="120" w:after="120"/>
        <w:ind w:firstLine="480"/>
      </w:pPr>
      <w:r>
        <w:rPr/>
        <w:t>3. 产品总成本和组件成本以相关会计核算数据、采购合同、进货记录等为基础进行计算。</w:t>
      </w:r>
    </w:p>
    <w:p>
      <w:pPr>
        <w:pStyle w:val="null3"/>
        <w:spacing w:before="120" w:after="120"/>
        <w:ind w:firstLine="480"/>
      </w:pPr>
      <w:r>
        <w:rPr/>
        <w:t>4. 需要对成本核算规则予以进一步明确的其他有关事项，由财政部会同有关部门另行规定。</w:t>
      </w:r>
    </w:p>
    <w:p>
      <w:pPr>
        <w:pStyle w:val="null3"/>
      </w:pPr>
      <w:r>
        <w:rPr>
          <w:sz w:val="28"/>
          <w:b/>
        </w:rPr>
        <w:t>附件2</w:t>
      </w:r>
    </w:p>
    <w:p>
      <w:pPr>
        <w:pStyle w:val="null3"/>
        <w:spacing w:before="120" w:after="240"/>
        <w:jc w:val="center"/>
        <w:outlineLvl w:val="3"/>
      </w:pPr>
      <w:r>
        <w:rPr>
          <w:sz w:val="24"/>
          <w:b/>
        </w:rPr>
        <w:t>关于符合本国产品标准的声明函</w:t>
      </w:r>
    </w:p>
    <w:p>
      <w:pPr>
        <w:pStyle w:val="null3"/>
        <w:ind w:firstLine="480"/>
      </w:pPr>
      <w:r>
        <w:rPr/>
        <w:t>本公司（单位）郑重声明，根据《国务院办公厅关于在政府采购中实施本国产品标准及相关政策的通知》（国办发〔2025〕34号）的规定，本公司（单位）提供的以下产品属于本国产品。具体情况如下：</w:t>
      </w:r>
    </w:p>
    <w:p>
      <w:pPr>
        <w:pStyle w:val="null3"/>
        <w:spacing w:before="240" w:after="240"/>
        <w:ind w:firstLine="960"/>
      </w:pPr>
      <w:r>
        <w:rPr/>
        <w:t xml:space="preserve"> 1. </w:t>
      </w:r>
      <w:r>
        <w:rPr>
          <w:u w:val="single"/>
        </w:rPr>
        <w:t>（产品名称1）</w:t>
      </w:r>
      <w:r>
        <w:rPr/>
        <w:t>，生产厂为</w:t>
      </w:r>
      <w:r>
        <w:rPr>
          <w:u w:val="single"/>
        </w:rPr>
        <w:t>（厂名）</w:t>
      </w:r>
      <w:r>
        <w:rPr/>
        <w:t>，厂址为</w:t>
      </w:r>
      <w:r>
        <w:rPr>
          <w:u w:val="single"/>
        </w:rPr>
        <w:t>（生产厂址）</w:t>
      </w:r>
      <w:r>
        <w:rPr/>
        <w:t xml:space="preserve">。 </w:t>
      </w:r>
      <w:r>
        <w:rPr>
          <w:u w:val="single"/>
        </w:rPr>
        <w:t>（产品名称1）</w:t>
      </w:r>
      <w:r>
        <w:rPr/>
        <w:t>的中国境内生产的组件成本占比≥</w:t>
      </w:r>
      <w:r>
        <w:rPr>
          <w:u w:val="single"/>
        </w:rPr>
        <w:t>（规定比例）</w:t>
      </w:r>
      <w:r>
        <w:rPr/>
        <w:t xml:space="preserve">。 </w:t>
      </w:r>
      <w:r>
        <w:rPr>
          <w:u w:val="single"/>
        </w:rPr>
        <w:t>（产品名称1）</w:t>
      </w:r>
      <w:r>
        <w:rPr/>
        <w:t>的</w:t>
      </w:r>
      <w:r>
        <w:rPr>
          <w:u w:val="single"/>
        </w:rPr>
        <w:t>（关键组件）</w:t>
      </w:r>
      <w:r>
        <w:rPr/>
        <w:t xml:space="preserve">在中国境内生产。 </w:t>
      </w:r>
      <w:r>
        <w:rPr>
          <w:u w:val="single"/>
        </w:rPr>
        <w:t>（产品名称1）</w:t>
      </w:r>
      <w:r>
        <w:rPr/>
        <w:t>的</w:t>
      </w:r>
      <w:r>
        <w:rPr>
          <w:u w:val="single"/>
        </w:rPr>
        <w:t>（关键工序）</w:t>
      </w:r>
      <w:r>
        <w:rPr/>
        <w:t>在中国境内完成。</w:t>
      </w:r>
    </w:p>
    <w:p>
      <w:pPr>
        <w:pStyle w:val="null3"/>
        <w:spacing w:before="240" w:after="240"/>
        <w:ind w:firstLine="960"/>
      </w:pPr>
      <w:r>
        <w:rPr/>
        <w:t xml:space="preserve"> 2. </w:t>
      </w:r>
      <w:r>
        <w:rPr>
          <w:u w:val="single"/>
        </w:rPr>
        <w:t>（产品名称2）</w:t>
      </w:r>
      <w:r>
        <w:rPr/>
        <w:t>，生产厂为</w:t>
      </w:r>
      <w:r>
        <w:rPr>
          <w:u w:val="single"/>
        </w:rPr>
        <w:t>（厂名）</w:t>
      </w:r>
      <w:r>
        <w:rPr/>
        <w:t>，厂址为</w:t>
      </w:r>
      <w:r>
        <w:rPr>
          <w:u w:val="single"/>
        </w:rPr>
        <w:t>（生产厂址）</w:t>
      </w:r>
      <w:r>
        <w:rPr/>
        <w:t xml:space="preserve">。 </w:t>
      </w:r>
      <w:r>
        <w:rPr>
          <w:u w:val="single"/>
        </w:rPr>
        <w:t>（产品名称2）</w:t>
      </w:r>
      <w:r>
        <w:rPr/>
        <w:t>的中国境内生产的组件成本占比≥</w:t>
      </w:r>
      <w:r>
        <w:rPr>
          <w:u w:val="single"/>
        </w:rPr>
        <w:t>（规定比例）</w:t>
      </w:r>
      <w:r>
        <w:rPr/>
        <w:t xml:space="preserve">。 </w:t>
      </w:r>
      <w:r>
        <w:rPr>
          <w:u w:val="single"/>
        </w:rPr>
        <w:t>（产品名称2）</w:t>
      </w:r>
      <w:r>
        <w:rPr/>
        <w:t>的</w:t>
      </w:r>
      <w:r>
        <w:rPr>
          <w:u w:val="single"/>
        </w:rPr>
        <w:t>（关键组件）</w:t>
      </w:r>
      <w:r>
        <w:rPr/>
        <w:t xml:space="preserve">在中国境内生产。 </w:t>
      </w:r>
      <w:r>
        <w:rPr>
          <w:u w:val="single"/>
        </w:rPr>
        <w:t>（产品名称2）</w:t>
      </w:r>
      <w:r>
        <w:rPr/>
        <w:t>的</w:t>
      </w:r>
      <w:r>
        <w:rPr>
          <w:u w:val="single"/>
        </w:rPr>
        <w:t>（关键工序）</w:t>
      </w:r>
      <w:r>
        <w:rPr/>
        <w:t>在中国境内完成。</w:t>
      </w:r>
    </w:p>
    <w:p>
      <w:pPr>
        <w:pStyle w:val="null3"/>
        <w:spacing w:before="240" w:after="240"/>
        <w:ind w:firstLine="960"/>
      </w:pPr>
      <w:r>
        <w:rPr/>
        <w:t>3. ……</w:t>
      </w:r>
    </w:p>
    <w:p>
      <w:pPr>
        <w:pStyle w:val="null3"/>
        <w:ind w:firstLine="480"/>
      </w:pPr>
      <w:r>
        <w:rPr/>
        <w:t>本公司（单位）对上述声明内容的真实性负责。如有虚假，愿承担相应法律责任。</w:t>
      </w:r>
    </w:p>
    <w:p>
      <w:pPr>
        <w:pStyle w:val="null3"/>
        <w:spacing w:before="720"/>
        <w:jc w:val="right"/>
      </w:pPr>
      <w:r>
        <w:rPr>
          <w:b/>
        </w:rPr>
        <w:t>公司（单位）名称（盖章）：</w:t>
      </w:r>
      <w:r>
        <w:rPr/>
        <w:t xml:space="preserve"> __________________</w:t>
      </w:r>
    </w:p>
    <w:p>
      <w:pPr>
        <w:pStyle w:val="null3"/>
        <w:jc w:val="right"/>
      </w:pPr>
      <w:r>
        <w:rPr>
          <w:b/>
        </w:rPr>
        <w:t>日期：</w:t>
      </w:r>
      <w:r>
        <w:rPr/>
        <w:t xml:space="preserve"> ______ 年 ______ 月 ______ 日</w:t>
      </w:r>
    </w:p>
    <w:p>
      <w:pPr>
        <w:pStyle w:val="null3"/>
        <w:ind w:firstLine="480"/>
      </w:pPr>
      <w:r>
        <w:rPr>
          <w:b/>
        </w:rPr>
        <w:t>注：</w:t>
      </w:r>
    </w:p>
    <w:p>
      <w:pPr>
        <w:pStyle w:val="null3"/>
        <w:spacing w:before="120" w:after="120"/>
        <w:ind w:firstLine="960"/>
      </w:pPr>
      <w:r>
        <w:rPr/>
        <w:t>1. 产品如有型号，请在“产品名称”栏一并填写。</w:t>
      </w:r>
    </w:p>
    <w:p>
      <w:pPr>
        <w:pStyle w:val="null3"/>
        <w:spacing w:before="120" w:after="120"/>
        <w:ind w:firstLine="960"/>
      </w:pPr>
      <w:r>
        <w:rPr/>
        <w:t>2. 生产厂名与厂址应与生产厂营业执照载明的相关信息保持一致。</w:t>
      </w:r>
    </w:p>
    <w:p>
      <w:pPr>
        <w:pStyle w:val="null3"/>
        <w:spacing w:before="120" w:after="120"/>
        <w:ind w:firstLine="960"/>
      </w:pPr>
      <w:r>
        <w:rPr/>
        <w:t>3. 该产品的中国境内生产的组件成本占比相关要求实施前，"规定比例"栏可不填，下同。</w:t>
      </w:r>
    </w:p>
    <w:p>
      <w:pPr>
        <w:pStyle w:val="null3"/>
        <w:spacing w:before="120" w:after="120"/>
        <w:ind w:firstLine="960"/>
      </w:pPr>
      <w:r>
        <w:rPr/>
        <w:t>4. 该产品的关键组件要求实施前，"关键组件"栏可不填，下同。</w:t>
      </w:r>
    </w:p>
    <w:p>
      <w:pPr>
        <w:pStyle w:val="null3"/>
        <w:spacing w:before="120" w:after="120"/>
        <w:ind w:firstLine="960"/>
      </w:pPr>
      <w:r>
        <w:rPr/>
        <w:t>5. 该产品的关键工序要求实施前，"关键工序"栏可不填，下同。</w:t>
      </w:r>
    </w:p>
    <w:p>
      <w:pPr>
        <w:pStyle w:val="null3"/>
      </w:pPr>
      <w:r>
        <w:rPr>
          <w:sz w:val="28"/>
          <w:b/>
        </w:rPr>
        <w:t>附件3（当采购项目或者采购包中含有多种产品的，供应商还应当提供本承诺函，格式内容仅供参考）</w:t>
      </w:r>
    </w:p>
    <w:p>
      <w:pPr>
        <w:pStyle w:val="null3"/>
        <w:spacing w:before="120" w:after="240"/>
        <w:jc w:val="center"/>
        <w:outlineLvl w:val="3"/>
      </w:pPr>
      <w:r>
        <w:rPr>
          <w:sz w:val="24"/>
          <w:b/>
        </w:rPr>
        <w:t>关于本国产品比例的承诺函（如适用）</w:t>
      </w:r>
    </w:p>
    <w:p>
      <w:pPr>
        <w:pStyle w:val="null3"/>
      </w:pPr>
      <w:r>
        <w:rPr/>
        <w:t>本公司（单位）郑重承诺，根据《国务院办公厅关于在政府采购中实施本国产品标准及相关政策的通知》（国办发〔2025〕34号）的规定，本公司（单位）提供的符合本国产品标准的产品成本之和占提供的全部产品成本之和的比例达到80%以上。</w:t>
      </w:r>
    </w:p>
    <w:p>
      <w:pPr>
        <w:pStyle w:val="null3"/>
      </w:pPr>
      <w:r>
        <w:rPr/>
        <w:t>本公司（单位）对上述承诺内容的真实性负责。如有虚假，愿承担相应法律责任。</w:t>
      </w:r>
    </w:p>
    <w:p>
      <w:pPr>
        <w:pStyle w:val="null3"/>
        <w:spacing w:before="720"/>
        <w:jc w:val="right"/>
      </w:pPr>
      <w:r>
        <w:rPr>
          <w:b/>
        </w:rPr>
        <w:t>公司（单位）名称（盖章）：</w:t>
      </w:r>
      <w:r>
        <w:rPr/>
        <w:t>__________________</w:t>
      </w:r>
    </w:p>
    <w:p>
      <w:pPr>
        <w:pStyle w:val="null3"/>
        <w:jc w:val="right"/>
      </w:pPr>
      <w:r>
        <w:rPr>
          <w:b/>
        </w:rPr>
        <w:t>日期：</w:t>
      </w:r>
      <w:r>
        <w:rPr/>
        <w:t>______</w:t>
      </w:r>
      <w:r>
        <w:rPr/>
        <w:t xml:space="preserve"> 年 </w:t>
      </w:r>
      <w:r>
        <w:rPr/>
        <w:t>______</w:t>
      </w:r>
      <w:r>
        <w:rPr/>
        <w:t xml:space="preserve"> 月 </w:t>
      </w:r>
      <w:r>
        <w:rPr/>
        <w:t>______</w:t>
      </w:r>
      <w:r>
        <w:rPr/>
        <w:t xml:space="preserve"> 日</w:t>
      </w:r>
    </w:p>
    <w:p>
      <w:pPr>
        <w:pStyle w:val="null3"/>
      </w:pPr>
      <w:r>
        <w:rPr>
          <w:sz w:val="28"/>
          <w:b/>
        </w:rPr>
        <w:t>附件4</w:t>
      </w:r>
    </w:p>
    <w:p>
      <w:pPr>
        <w:pStyle w:val="null3"/>
        <w:spacing w:before="120" w:after="240"/>
        <w:jc w:val="center"/>
        <w:outlineLvl w:val="3"/>
      </w:pPr>
      <w:r>
        <w:rPr>
          <w:sz w:val="24"/>
          <w:b/>
        </w:rPr>
        <w:t>本国产品标准有关证明材料（如适用）</w:t>
      </w:r>
    </w:p>
    <w:p>
      <w:pPr>
        <w:pStyle w:val="null3"/>
        <w:spacing w:before="120" w:after="120"/>
        <w:ind w:firstLine="960"/>
      </w:pPr>
      <w:r>
        <w:rPr/>
        <w:t>1. 供应商认为需提供的其他资料。</w:t>
      </w:r>
    </w:p>
    <w:p>
      <w:pPr>
        <w:pStyle w:val="null3"/>
        <w:spacing w:before="120" w:after="120"/>
        <w:ind w:firstLine="960"/>
      </w:pPr>
      <w:r>
        <w:rPr/>
        <w:t>2. 财政部会同有关部门规定的有关证明文件。</w:t>
      </w:r>
    </w:p>
    <w:p>
      <w:pPr>
        <w:pStyle w:val="null3"/>
        <w:ind w:firstLine="480"/>
        <w:outlineLvl w:val="2"/>
      </w:pPr>
      <w:r>
        <w:rPr>
          <w:sz w:val="28"/>
          <w:b/>
        </w:rPr>
        <w:t>格式六：</w:t>
      </w:r>
    </w:p>
    <w:p>
      <w:pPr>
        <w:pStyle w:val="null3"/>
        <w:ind w:firstLine="480"/>
      </w:pPr>
      <w:r>
        <w:rPr/>
        <w:t>（供应商可使用下述格式，也可使用广东省工商行政管理局统一印制的法定代表人证明书格式）</w:t>
      </w:r>
    </w:p>
    <w:p>
      <w:pPr>
        <w:pStyle w:val="null3"/>
        <w:jc w:val="center"/>
        <w:outlineLvl w:val="3"/>
      </w:pPr>
      <w:r>
        <w:rPr>
          <w:sz w:val="24"/>
          <w:b/>
        </w:rPr>
        <w:t>法定代表人证明书</w:t>
      </w:r>
    </w:p>
    <w:p>
      <w:pPr>
        <w:pStyle w:val="null3"/>
        <w:ind w:firstLine="480"/>
      </w:pPr>
      <w:r>
        <w:rPr/>
        <w:t>_____________现任我单位_____________职务，为法定代表人，特此证明。</w:t>
      </w:r>
    </w:p>
    <w:p>
      <w:pPr>
        <w:pStyle w:val="null3"/>
        <w:ind w:firstLine="480"/>
      </w:pPr>
      <w:r>
        <w:rPr/>
        <w:t>有效期限：__________________</w:t>
      </w:r>
    </w:p>
    <w:p>
      <w:pPr>
        <w:pStyle w:val="null3"/>
        <w:ind w:firstLine="480"/>
      </w:pPr>
      <w:r>
        <w:rPr/>
        <w:t>附：代表人性别：_____年龄：_________ 身份证号码：__________________</w:t>
      </w:r>
    </w:p>
    <w:p>
      <w:pPr>
        <w:pStyle w:val="null3"/>
        <w:ind w:firstLine="480"/>
      </w:pPr>
      <w:r>
        <w:rPr/>
        <w:t>注册号码：____________________企业类型：____________________________</w:t>
      </w:r>
    </w:p>
    <w:p>
      <w:pPr>
        <w:pStyle w:val="null3"/>
        <w:ind w:firstLine="480"/>
      </w:pPr>
      <w:r>
        <w:rPr/>
        <w:t>经营范围：__________________________________________________________</w:t>
      </w:r>
    </w:p>
    <w:p>
      <w:pPr>
        <w:pStyle w:val="null3"/>
        <w:jc w:val="right"/>
      </w:pPr>
      <w:r>
        <w:rPr/>
        <w:t xml:space="preserve"> 供应商名称（盖章）：__________________</w:t>
      </w:r>
    </w:p>
    <w:p>
      <w:pPr>
        <w:pStyle w:val="null3"/>
        <w:jc w:val="right"/>
      </w:pPr>
      <w:r>
        <w:rPr/>
        <w:t xml:space="preserve"> 地  址：__________________</w:t>
      </w:r>
    </w:p>
    <w:p>
      <w:pPr>
        <w:pStyle w:val="null3"/>
        <w:jc w:val="right"/>
      </w:pPr>
      <w:r>
        <w:rPr/>
        <w:t xml:space="preserve"> 法定代表人（签字或盖章）：__________________</w:t>
      </w:r>
    </w:p>
    <w:p>
      <w:pPr>
        <w:pStyle w:val="null3"/>
        <w:jc w:val="right"/>
      </w:pPr>
      <w:r>
        <w:rPr/>
        <w:t xml:space="preserve"> 职  务：__________________</w:t>
      </w:r>
    </w:p>
    <w:p>
      <w:pPr>
        <w:pStyle w:val="null3"/>
        <w:jc w:val="right"/>
      </w:pPr>
      <w:r>
        <w:rPr/>
        <w:t xml:space="preserve"> 日  期：__________________</w:t>
      </w:r>
    </w:p>
    <w:p>
      <w:pPr>
        <w:pStyle w:val="null3"/>
      </w:pPr>
      <w:r>
        <w:rPr/>
        <w:t xml:space="preserve">  </w:t>
      </w:r>
    </w:p>
    <w:p>
      <w:pPr>
        <w:pStyle w:val="null3"/>
        <w:outlineLvl w:val="2"/>
      </w:pPr>
      <w:r>
        <w:rPr>
          <w:sz w:val="28"/>
          <w:b/>
        </w:rPr>
        <w:t>格式七：</w:t>
      </w:r>
    </w:p>
    <w:p>
      <w:pPr>
        <w:pStyle w:val="null3"/>
        <w:jc w:val="center"/>
        <w:outlineLvl w:val="3"/>
      </w:pPr>
      <w:r>
        <w:rPr>
          <w:sz w:val="24"/>
          <w:b/>
        </w:rPr>
        <w:t>法定代表人授权书格式</w:t>
      </w:r>
    </w:p>
    <w:p>
      <w:pPr>
        <w:pStyle w:val="null3"/>
        <w:ind w:firstLine="480"/>
      </w:pPr>
      <w:r>
        <w:rPr/>
        <w:t>（对于银行、保险、电信、邮政、铁路等行业以及获得总公司响应授权的分公司，可以提供响应分支机构负责人授权书）</w:t>
      </w:r>
    </w:p>
    <w:p>
      <w:pPr>
        <w:pStyle w:val="null3"/>
        <w:jc w:val="center"/>
        <w:outlineLvl w:val="3"/>
      </w:pPr>
      <w:r>
        <w:rPr>
          <w:sz w:val="24"/>
          <w:b/>
        </w:rPr>
        <w:t>法定代表人授权书</w:t>
      </w:r>
    </w:p>
    <w:p>
      <w:pPr>
        <w:pStyle w:val="null3"/>
        <w:ind w:firstLine="480"/>
      </w:pPr>
      <w:r>
        <w:rPr/>
        <w:t>致：</w:t>
      </w:r>
      <w:r>
        <w:rPr/>
        <w:t>广东省建东工程监理有限公司中山分公司</w:t>
      </w:r>
    </w:p>
    <w:p>
      <w:pPr>
        <w:pStyle w:val="null3"/>
        <w:ind w:firstLine="480"/>
      </w:pPr>
      <w:r>
        <w:rPr/>
        <w:t xml:space="preserve">本授权书声明：________是注册于 </w:t>
      </w:r>
      <w:r>
        <w:rPr>
          <w:u w:val="single"/>
        </w:rPr>
        <w:t>（国家或地区）</w:t>
      </w:r>
      <w:r>
        <w:rPr/>
        <w:t>的</w:t>
      </w:r>
      <w:r>
        <w:rPr>
          <w:u w:val="single"/>
        </w:rPr>
        <w:t>（供应商名称）</w:t>
      </w:r>
      <w:r>
        <w:rPr/>
        <w:t xml:space="preserve">的法定代表人，现任________职务，有效证件号码：________________。现授权 </w:t>
      </w:r>
      <w:r>
        <w:rPr>
          <w:u w:val="single"/>
        </w:rPr>
        <w:t>（姓名、职务）</w:t>
      </w:r>
      <w:r>
        <w:rPr/>
        <w:t xml:space="preserve"> 作为我公司的全权代理人，就“</w:t>
      </w:r>
      <w:r>
        <w:rPr/>
        <w:t>民众街道民众分局视频监控运维升级改造项目</w:t>
      </w:r>
      <w:r>
        <w:rPr/>
        <w:t>”项目采购[采购项目编号为</w:t>
      </w:r>
      <w:r>
        <w:rPr/>
        <w:t>ZSJD25ZC0118</w:t>
      </w:r>
      <w:r>
        <w:rPr/>
        <w:t>]的响应和合同执行，以我方的名义处理一切与之有关的事宜。</w:t>
      </w:r>
    </w:p>
    <w:p>
      <w:pPr>
        <w:pStyle w:val="null3"/>
        <w:ind w:firstLine="480"/>
      </w:pPr>
      <w:r>
        <w:rPr/>
        <w:t>本授权书于________年________月________日签字生效，特此声明。</w:t>
      </w:r>
    </w:p>
    <w:p>
      <w:pPr>
        <w:pStyle w:val="null3"/>
        <w:jc w:val="right"/>
      </w:pPr>
      <w:r>
        <w:rPr/>
        <w:t xml:space="preserve"> 供应商（盖章）：__________________</w:t>
      </w:r>
    </w:p>
    <w:p>
      <w:pPr>
        <w:pStyle w:val="null3"/>
        <w:jc w:val="right"/>
      </w:pPr>
      <w:r>
        <w:rPr/>
        <w:t xml:space="preserve"> 地  址：__________________</w:t>
      </w:r>
    </w:p>
    <w:p>
      <w:pPr>
        <w:pStyle w:val="null3"/>
        <w:jc w:val="right"/>
      </w:pPr>
      <w:r>
        <w:rPr/>
        <w:t xml:space="preserve"> 法定代表人（签字或盖章）：__________________</w:t>
      </w:r>
    </w:p>
    <w:p>
      <w:pPr>
        <w:pStyle w:val="null3"/>
        <w:jc w:val="right"/>
      </w:pPr>
      <w:r>
        <w:rPr/>
        <w:t xml:space="preserve"> 职  务：__________________</w:t>
      </w:r>
    </w:p>
    <w:p>
      <w:pPr>
        <w:pStyle w:val="null3"/>
        <w:jc w:val="right"/>
      </w:pPr>
      <w:r>
        <w:rPr/>
        <w:t xml:space="preserve"> 被授权人（签字或盖章）：__________________</w:t>
      </w:r>
    </w:p>
    <w:p>
      <w:pPr>
        <w:pStyle w:val="null3"/>
        <w:jc w:val="right"/>
      </w:pPr>
      <w:r>
        <w:rPr/>
        <w:t xml:space="preserve"> 职  务：__________________</w:t>
      </w:r>
    </w:p>
    <w:p>
      <w:pPr>
        <w:pStyle w:val="null3"/>
        <w:jc w:val="right"/>
      </w:pPr>
      <w:r>
        <w:rPr/>
        <w:t xml:space="preserve"> 日  期：__________________</w:t>
      </w:r>
    </w:p>
    <w:p>
      <w:pPr>
        <w:pStyle w:val="null3"/>
      </w:pPr>
      <w:r>
        <w:rPr/>
        <w:t xml:space="preserve">  </w:t>
      </w:r>
    </w:p>
    <w:p>
      <w:pPr>
        <w:pStyle w:val="null3"/>
        <w:outlineLvl w:val="2"/>
      </w:pPr>
      <w:r>
        <w:rPr>
          <w:sz w:val="28"/>
          <w:b/>
        </w:rPr>
        <w:t>格式八：</w:t>
      </w:r>
    </w:p>
    <w:p>
      <w:pPr>
        <w:pStyle w:val="null3"/>
        <w:jc w:val="center"/>
        <w:outlineLvl w:val="3"/>
      </w:pPr>
      <w:r>
        <w:rPr>
          <w:sz w:val="24"/>
          <w:b/>
        </w:rPr>
        <w:t>响应保证金</w:t>
      </w:r>
    </w:p>
    <w:p>
      <w:pPr>
        <w:pStyle w:val="null3"/>
        <w:ind w:firstLine="480"/>
      </w:pPr>
      <w:r>
        <w:rPr/>
        <w:t>响应文件要求递交响应保证金的，供应商应在此提供保证金的凭证的复印件。</w:t>
      </w:r>
    </w:p>
    <w:p>
      <w:pPr>
        <w:pStyle w:val="null3"/>
      </w:pPr>
      <w:r>
        <w:rPr/>
        <w:t xml:space="preserve">  </w:t>
      </w:r>
    </w:p>
    <w:p>
      <w:pPr>
        <w:pStyle w:val="null3"/>
        <w:outlineLvl w:val="2"/>
      </w:pPr>
      <w:r>
        <w:rPr>
          <w:sz w:val="28"/>
          <w:b/>
        </w:rPr>
        <w:t>格式九：</w:t>
      </w:r>
    </w:p>
    <w:p>
      <w:pPr>
        <w:pStyle w:val="null3"/>
        <w:jc w:val="center"/>
        <w:outlineLvl w:val="3"/>
      </w:pPr>
      <w:r>
        <w:rPr>
          <w:sz w:val="24"/>
          <w:b/>
        </w:rPr>
        <w:t>提供具有独立承担民事责任的能力的证明材料</w:t>
      </w:r>
    </w:p>
    <w:p>
      <w:pPr>
        <w:pStyle w:val="null3"/>
      </w:pPr>
      <w:r>
        <w:rPr/>
        <w:t xml:space="preserve">  </w:t>
      </w:r>
    </w:p>
    <w:p>
      <w:pPr>
        <w:pStyle w:val="null3"/>
        <w:outlineLvl w:val="2"/>
      </w:pPr>
      <w:r>
        <w:rPr>
          <w:sz w:val="28"/>
          <w:b/>
        </w:rPr>
        <w:t>格式十：</w:t>
      </w:r>
    </w:p>
    <w:p>
      <w:pPr>
        <w:pStyle w:val="null3"/>
        <w:jc w:val="center"/>
        <w:outlineLvl w:val="3"/>
      </w:pPr>
      <w:r>
        <w:rPr>
          <w:sz w:val="24"/>
          <w:b/>
        </w:rPr>
        <w:t>资格性审查要求的其他资质证明文件</w:t>
      </w:r>
    </w:p>
    <w:p>
      <w:pPr>
        <w:pStyle w:val="null3"/>
        <w:ind w:firstLine="480"/>
      </w:pPr>
      <w:r>
        <w:rPr/>
        <w:t>具有履行合同所必需的设备和专业技术能力</w:t>
      </w:r>
    </w:p>
    <w:p>
      <w:pPr>
        <w:pStyle w:val="null3"/>
      </w:pPr>
      <w:r>
        <w:rPr/>
        <w:t xml:space="preserve">  </w:t>
      </w:r>
    </w:p>
    <w:p>
      <w:pPr>
        <w:pStyle w:val="null3"/>
        <w:outlineLvl w:val="2"/>
      </w:pPr>
      <w:r>
        <w:rPr>
          <w:sz w:val="28"/>
          <w:b/>
        </w:rPr>
        <w:t>格式十一：</w:t>
      </w:r>
    </w:p>
    <w:p>
      <w:pPr>
        <w:pStyle w:val="null3"/>
        <w:ind w:firstLine="480"/>
      </w:pPr>
      <w:r>
        <w:rPr/>
        <w:t>（对于采购需求写明“提供承诺”的条款，供应商可参照以下格式提供承诺）</w:t>
      </w:r>
    </w:p>
    <w:p>
      <w:pPr>
        <w:pStyle w:val="null3"/>
        <w:jc w:val="center"/>
        <w:outlineLvl w:val="3"/>
      </w:pPr>
      <w:r>
        <w:rPr>
          <w:sz w:val="24"/>
          <w:b/>
        </w:rPr>
        <w:t>承诺函</w:t>
      </w:r>
    </w:p>
    <w:p>
      <w:pPr>
        <w:pStyle w:val="null3"/>
        <w:ind w:firstLine="480"/>
      </w:pPr>
      <w:r>
        <w:rPr/>
        <w:t>致：</w:t>
      </w:r>
      <w:r>
        <w:rPr/>
        <w:t>中山市公安局民众分局</w:t>
      </w:r>
      <w:r>
        <w:br/>
      </w:r>
    </w:p>
    <w:p>
      <w:pPr>
        <w:pStyle w:val="null3"/>
        <w:ind w:firstLine="480"/>
      </w:pPr>
      <w:r>
        <w:rPr/>
        <w:t>对于__________________项目（项目编号：__________________），我方郑重承诺如下：</w:t>
      </w:r>
    </w:p>
    <w:p>
      <w:pPr>
        <w:pStyle w:val="null3"/>
        <w:ind w:firstLine="480"/>
      </w:pPr>
      <w:r>
        <w:rPr/>
        <w:t>如中标/成交，我方承诺严格落实采购文件以下条款：(建议逐条复制采购文件相关条款原文)</w:t>
      </w:r>
    </w:p>
    <w:p>
      <w:pPr>
        <w:pStyle w:val="null3"/>
        <w:ind w:firstLine="480"/>
      </w:pPr>
      <w:r>
        <w:rPr/>
        <w:t>（一）星号条款</w:t>
      </w:r>
    </w:p>
    <w:p>
      <w:pPr>
        <w:pStyle w:val="null3"/>
        <w:ind w:firstLine="480"/>
      </w:pPr>
      <w:r>
        <w:rPr/>
        <w:t>1.</w:t>
      </w:r>
    </w:p>
    <w:p>
      <w:pPr>
        <w:pStyle w:val="null3"/>
        <w:ind w:firstLine="480"/>
      </w:pPr>
      <w:r>
        <w:rPr/>
        <w:t>2.</w:t>
      </w:r>
    </w:p>
    <w:p>
      <w:pPr>
        <w:pStyle w:val="null3"/>
        <w:ind w:firstLine="480"/>
      </w:pPr>
      <w:r>
        <w:rPr/>
        <w:t>3.</w:t>
      </w:r>
    </w:p>
    <w:p>
      <w:pPr>
        <w:pStyle w:val="null3"/>
        <w:ind w:firstLine="480"/>
      </w:pPr>
      <w:r>
        <w:rPr/>
        <w:t>.........</w:t>
      </w:r>
    </w:p>
    <w:p>
      <w:pPr>
        <w:pStyle w:val="null3"/>
        <w:ind w:firstLine="480"/>
      </w:pPr>
      <w:r>
        <w:rPr/>
        <w:t>（二）三角号条款</w:t>
      </w:r>
    </w:p>
    <w:p>
      <w:pPr>
        <w:pStyle w:val="null3"/>
        <w:ind w:firstLine="480"/>
      </w:pPr>
      <w:r>
        <w:rPr/>
        <w:t>1.</w:t>
      </w:r>
    </w:p>
    <w:p>
      <w:pPr>
        <w:pStyle w:val="null3"/>
        <w:ind w:firstLine="480"/>
      </w:pPr>
      <w:r>
        <w:rPr/>
        <w:t>2.</w:t>
      </w:r>
    </w:p>
    <w:p>
      <w:pPr>
        <w:pStyle w:val="null3"/>
        <w:ind w:firstLine="480"/>
      </w:pPr>
      <w:r>
        <w:rPr/>
        <w:t>3.</w:t>
      </w:r>
    </w:p>
    <w:p>
      <w:pPr>
        <w:pStyle w:val="null3"/>
        <w:ind w:firstLine="480"/>
      </w:pPr>
      <w:r>
        <w:rPr/>
        <w:t>.........</w:t>
      </w:r>
    </w:p>
    <w:p>
      <w:pPr>
        <w:pStyle w:val="null3"/>
        <w:ind w:firstLine="480"/>
      </w:pPr>
      <w:r>
        <w:rPr/>
        <w:t>（三）非星号、非三角号条款</w:t>
      </w:r>
    </w:p>
    <w:p>
      <w:pPr>
        <w:pStyle w:val="null3"/>
        <w:ind w:firstLine="480"/>
      </w:pPr>
      <w:r>
        <w:rPr/>
        <w:t>1.</w:t>
      </w:r>
    </w:p>
    <w:p>
      <w:pPr>
        <w:pStyle w:val="null3"/>
        <w:ind w:firstLine="480"/>
      </w:pPr>
      <w:r>
        <w:rPr/>
        <w:t>2.</w:t>
      </w:r>
    </w:p>
    <w:p>
      <w:pPr>
        <w:pStyle w:val="null3"/>
        <w:ind w:firstLine="480"/>
      </w:pPr>
      <w:r>
        <w:rPr/>
        <w:t>3.</w:t>
      </w:r>
    </w:p>
    <w:p>
      <w:pPr>
        <w:pStyle w:val="null3"/>
        <w:ind w:firstLine="480"/>
      </w:pPr>
      <w:r>
        <w:rPr/>
        <w:t>.........</w:t>
      </w:r>
      <w:r>
        <w:br/>
      </w:r>
    </w:p>
    <w:p>
      <w:pPr>
        <w:pStyle w:val="null3"/>
        <w:ind w:firstLine="480"/>
      </w:pPr>
      <w:r>
        <w:rPr/>
        <w:t>特此承诺。</w:t>
      </w:r>
    </w:p>
    <w:p>
      <w:pPr>
        <w:pStyle w:val="null3"/>
      </w:pPr>
      <w:r>
        <w:rPr/>
        <w:t xml:space="preserve"> 供应商名称（盖章）：__________________</w:t>
      </w:r>
    </w:p>
    <w:p>
      <w:pPr>
        <w:pStyle w:val="null3"/>
      </w:pPr>
      <w:r>
        <w:rPr/>
        <w:t xml:space="preserve"> 日期： 年 月 日</w:t>
      </w:r>
    </w:p>
    <w:p>
      <w:pPr>
        <w:pStyle w:val="null3"/>
        <w:ind w:firstLine="480"/>
      </w:pPr>
      <w:r>
        <w:rPr/>
        <w:t xml:space="preserve">  </w:t>
      </w:r>
    </w:p>
    <w:p>
      <w:pPr>
        <w:pStyle w:val="null3"/>
        <w:outlineLvl w:val="2"/>
      </w:pPr>
      <w:r>
        <w:rPr>
          <w:sz w:val="28"/>
          <w:b/>
        </w:rPr>
        <w:t>格式十二：</w:t>
      </w:r>
    </w:p>
    <w:p>
      <w:pPr>
        <w:pStyle w:val="null3"/>
        <w:ind w:firstLine="480"/>
      </w:pPr>
      <w:r>
        <w:rPr/>
        <w:t>（以下格式文件由供应商根据需要选用）</w:t>
      </w:r>
    </w:p>
    <w:p>
      <w:pPr>
        <w:pStyle w:val="null3"/>
        <w:ind w:firstLine="480"/>
      </w:pPr>
      <w:r>
        <w:rPr/>
        <w:t>中小企业声明函（所投产品制造商为中小企业时提交本函，所属行业应符合磋商文件中明确的本项目所属行业）</w:t>
      </w:r>
    </w:p>
    <w:p>
      <w:pPr>
        <w:pStyle w:val="null3"/>
        <w:jc w:val="center"/>
        <w:outlineLvl w:val="3"/>
      </w:pPr>
      <w:r>
        <w:rPr>
          <w:sz w:val="24"/>
          <w:b/>
        </w:rPr>
        <w:t>中小企业声明函（货物）</w:t>
      </w:r>
    </w:p>
    <w:p>
      <w:pPr>
        <w:pStyle w:val="null3"/>
        <w:ind w:firstLine="480"/>
      </w:pPr>
      <w:r>
        <w:rPr/>
        <w:t>本公司（联合体）郑重声明，根据《政府采购促进中小企业发展管理办法》（财库﹝2020﹞46 号）的规定，本公司（联合体）参加</w:t>
      </w:r>
      <w:r>
        <w:rPr>
          <w:u w:val="single"/>
        </w:rPr>
        <w:t>（单位名称）</w:t>
      </w:r>
      <w:r>
        <w:rPr/>
        <w:t>的</w:t>
      </w:r>
      <w:r>
        <w:rPr>
          <w:u w:val="single"/>
        </w:rPr>
        <w:t>（项目名称）</w:t>
      </w:r>
      <w:r>
        <w:rPr/>
        <w:t>采购活动，提供的货物全部由符合政策要求的中小企业制造。相关企业（含联合体中的中小企业、签订分包意向协议的中小企业）的具体情况如下：</w:t>
      </w:r>
    </w:p>
    <w:p>
      <w:pPr>
        <w:pStyle w:val="null3"/>
        <w:ind w:firstLine="480"/>
      </w:pPr>
      <w:r>
        <w:rPr/>
        <w:t xml:space="preserve"> 1.（标的名称），属于（磋商文件中明确的所属行业）行业；制造商为（企业名称），从业人员__________________人，营业收入为__________________万元，资产总额为__________________万元</w:t>
      </w:r>
      <w:r>
        <w:rPr>
          <w:sz w:val="7"/>
        </w:rPr>
        <w:t>1</w:t>
      </w:r>
      <w:r>
        <w:rPr/>
        <w:t>，属于（中型企业、小型企业、微型企业）；</w:t>
      </w:r>
    </w:p>
    <w:p>
      <w:pPr>
        <w:pStyle w:val="null3"/>
        <w:ind w:firstLine="480"/>
      </w:pPr>
      <w:r>
        <w:rPr/>
        <w:t xml:space="preserve"> 2.（标的名称），属于（磋商文件中明确的所属行业）行业；制造商为（企业名称），从业人员__________________人，营业收入为__________________万元，资产总额为__________________万元</w:t>
      </w:r>
      <w:r>
        <w:rPr>
          <w:sz w:val="7"/>
        </w:rPr>
        <w:t>1</w:t>
      </w:r>
      <w:r>
        <w:rPr/>
        <w:t>，属于（中型企业、小型企业、微型企业）；</w:t>
      </w:r>
    </w:p>
    <w:p>
      <w:pPr>
        <w:pStyle w:val="null3"/>
        <w:ind w:firstLine="480"/>
      </w:pPr>
      <w:r>
        <w:rPr/>
        <w:t>……</w:t>
      </w:r>
    </w:p>
    <w:p>
      <w:pPr>
        <w:pStyle w:val="null3"/>
        <w:ind w:firstLine="480"/>
      </w:pPr>
      <w:r>
        <w:rPr/>
        <w:t>以上企业，不属于大企业的分支机构，不存在控股股东为大企业的情形，也不存在与大企业的负责人为同一人的情形。</w:t>
      </w:r>
    </w:p>
    <w:p>
      <w:pPr>
        <w:pStyle w:val="null3"/>
        <w:ind w:firstLine="480"/>
      </w:pPr>
      <w:r>
        <w:rPr/>
        <w:t>本企业对上述声明内容的真实性负责。如有虚假，将依法承担相应责任。</w:t>
      </w:r>
    </w:p>
    <w:p>
      <w:pPr>
        <w:pStyle w:val="null3"/>
        <w:jc w:val="right"/>
      </w:pPr>
      <w:r>
        <w:rPr/>
        <w:t xml:space="preserve"> 企业名称（盖章）：__________________</w:t>
      </w:r>
    </w:p>
    <w:p>
      <w:pPr>
        <w:pStyle w:val="null3"/>
        <w:jc w:val="right"/>
      </w:pPr>
      <w:r>
        <w:rPr/>
        <w:t xml:space="preserve"> 日  期：__________________</w:t>
      </w:r>
    </w:p>
    <w:p>
      <w:pPr>
        <w:pStyle w:val="null3"/>
        <w:ind w:firstLine="480"/>
      </w:pPr>
      <w:r>
        <w:rPr/>
        <w:t>1：从业人员、营业收入、资产总额填报上一年度数据，无上一年度数据的新成立企业可不填报。</w:t>
      </w:r>
    </w:p>
    <w:p>
      <w:pPr>
        <w:pStyle w:val="null3"/>
        <w:ind w:firstLine="480"/>
      </w:pPr>
      <w:r>
        <w:rPr/>
        <w:t xml:space="preserve"> 2：供应商应当对其出具的《中小企业声明函》真实性负责，供应商出具的《中小企业声明函》内容不实的，属于提供虚假材料谋取成交。在实际操作中，供应商希望获得中小企业扶持政策支持的，应从制造商处获得充分、准确的信息。对相关制造商信息了解不充分，或者不能确定相关信息真实、准确的，不建议出具《中小企业声明函》。</w:t>
      </w:r>
    </w:p>
    <w:p>
      <w:pPr>
        <w:pStyle w:val="null3"/>
        <w:ind w:firstLine="480"/>
      </w:pPr>
      <w:r>
        <w:rPr/>
        <w:t xml:space="preserve">  </w:t>
      </w:r>
    </w:p>
    <w:p>
      <w:pPr>
        <w:pStyle w:val="null3"/>
        <w:ind w:firstLine="480"/>
      </w:pPr>
      <w:r>
        <w:rPr/>
        <w:t>中小企业声明函（承建本项目工程为中小企业或者承接本项目服务为中小企业时提交本函，所属行业应符合磋商文件中明确的本项目所属行业）</w:t>
      </w:r>
    </w:p>
    <w:p>
      <w:pPr>
        <w:pStyle w:val="null3"/>
        <w:jc w:val="center"/>
        <w:outlineLvl w:val="3"/>
      </w:pPr>
      <w:r>
        <w:rPr>
          <w:sz w:val="24"/>
          <w:b/>
        </w:rPr>
        <w:t>中小企业声明函（工程、服务）</w:t>
      </w:r>
    </w:p>
    <w:p>
      <w:pPr>
        <w:pStyle w:val="null3"/>
        <w:ind w:firstLine="480"/>
      </w:pPr>
      <w:r>
        <w:rPr/>
        <w:t>本公司（联合体）郑重声明，根据《政府采购促进中小企业发展管理办法》（财库﹝2020﹞46 号）的规定，本公司（联合体）参加</w:t>
      </w:r>
      <w:r>
        <w:rPr>
          <w:u w:val="single"/>
        </w:rPr>
        <w:t>（单位名称）</w:t>
      </w:r>
      <w:r>
        <w:rPr/>
        <w:t>的</w:t>
      </w:r>
      <w:r>
        <w:rPr>
          <w:u w:val="single"/>
        </w:rPr>
        <w:t>（项目名称）</w:t>
      </w:r>
      <w:r>
        <w:rPr/>
        <w:t>采购活动，工程的施工单位全部为符合政策要求的中小企业（或者：服务全部由符合政策要求的中小企业承接）。相关企业（含联合体中的中小企业、签订分包意向协议的中小企业）的具体情况如下：</w:t>
      </w:r>
    </w:p>
    <w:p>
      <w:pPr>
        <w:pStyle w:val="null3"/>
        <w:ind w:firstLine="480"/>
      </w:pPr>
      <w:r>
        <w:rPr/>
        <w:t xml:space="preserve"> 1.（标的名称），属于（磋商文件中明确的所属行业）行业；承建（承接）企业为（企业名称），从业人员__________________人，营业收入为__________________万元，资产总额为__________________万元</w:t>
      </w:r>
      <w:r>
        <w:rPr>
          <w:sz w:val="7"/>
        </w:rPr>
        <w:t>1</w:t>
      </w:r>
      <w:r>
        <w:rPr/>
        <w:t>，属于（中型企业、小型企业、微型企业）；</w:t>
      </w:r>
    </w:p>
    <w:p>
      <w:pPr>
        <w:pStyle w:val="null3"/>
        <w:ind w:firstLine="480"/>
      </w:pPr>
      <w:r>
        <w:rPr/>
        <w:t xml:space="preserve"> 2.（标的名称），属于（磋商文件中明确的所属行业）行业；承建（承接）企业为（企业名称），从业人员__________________人，营业收入为__________________万元，资产总额为__________________万元</w:t>
      </w:r>
      <w:r>
        <w:rPr>
          <w:sz w:val="7"/>
        </w:rPr>
        <w:t>1</w:t>
      </w:r>
      <w:r>
        <w:rPr/>
        <w:t>，属于（中型企业、小型企业、微型企业）；</w:t>
      </w:r>
    </w:p>
    <w:p>
      <w:pPr>
        <w:pStyle w:val="null3"/>
        <w:ind w:firstLine="480"/>
      </w:pPr>
      <w:r>
        <w:rPr/>
        <w:t>……</w:t>
      </w:r>
    </w:p>
    <w:p>
      <w:pPr>
        <w:pStyle w:val="null3"/>
        <w:ind w:firstLine="480"/>
      </w:pPr>
      <w:r>
        <w:rPr/>
        <w:t>以上企业，不属于大企业的分支机构，不存在控股股东为大企业的情形，也不存在与大企业的负责人为同一人的情形。</w:t>
      </w:r>
    </w:p>
    <w:p>
      <w:pPr>
        <w:pStyle w:val="null3"/>
        <w:ind w:firstLine="480"/>
      </w:pPr>
      <w:r>
        <w:rPr/>
        <w:t>本企业对上述声明内容的真实性负责。如有虚假，将依法承担相应责任。</w:t>
      </w:r>
    </w:p>
    <w:p>
      <w:pPr>
        <w:pStyle w:val="null3"/>
        <w:jc w:val="right"/>
      </w:pPr>
      <w:r>
        <w:rPr/>
        <w:t xml:space="preserve"> 企业名称（盖章）：__________________</w:t>
      </w:r>
    </w:p>
    <w:p>
      <w:pPr>
        <w:pStyle w:val="null3"/>
        <w:jc w:val="right"/>
      </w:pPr>
      <w:r>
        <w:rPr/>
        <w:t xml:space="preserve"> 日  期：__________________</w:t>
      </w:r>
    </w:p>
    <w:p>
      <w:pPr>
        <w:pStyle w:val="null3"/>
        <w:ind w:firstLine="480"/>
      </w:pPr>
      <w:r>
        <w:rPr/>
        <w:t>1：从业人员、营业收入、资产总额填报上一年度数据，无上一年度数据的新成立企业可不填报。</w:t>
      </w:r>
    </w:p>
    <w:p>
      <w:pPr>
        <w:pStyle w:val="null3"/>
        <w:ind w:firstLine="480"/>
      </w:pPr>
      <w:r>
        <w:rPr/>
        <w:t>2：供应商应当自行核实是否属于小微企业，并认真填写声明函，若有虚假将追究其责任。</w:t>
      </w:r>
    </w:p>
    <w:p>
      <w:pPr>
        <w:pStyle w:val="null3"/>
        <w:ind w:firstLine="480"/>
      </w:pPr>
      <w:r>
        <w:rPr/>
        <w:t xml:space="preserve">  </w:t>
      </w:r>
    </w:p>
    <w:p>
      <w:pPr>
        <w:pStyle w:val="null3"/>
        <w:outlineLvl w:val="2"/>
      </w:pPr>
      <w:r>
        <w:rPr>
          <w:sz w:val="28"/>
          <w:b/>
        </w:rPr>
        <w:t>格式十三：</w:t>
      </w:r>
    </w:p>
    <w:p>
      <w:pPr>
        <w:pStyle w:val="null3"/>
        <w:ind w:firstLine="480"/>
      </w:pPr>
      <w:r>
        <w:rPr/>
        <w:t>（以下格式文件由供应商根据需要选用）</w:t>
      </w:r>
    </w:p>
    <w:p>
      <w:pPr>
        <w:pStyle w:val="null3"/>
        <w:jc w:val="center"/>
        <w:outlineLvl w:val="3"/>
      </w:pPr>
      <w:r>
        <w:rPr>
          <w:sz w:val="24"/>
          <w:b/>
        </w:rPr>
        <w:t>监狱企业</w:t>
      </w:r>
    </w:p>
    <w:p>
      <w:pPr>
        <w:pStyle w:val="null3"/>
        <w:ind w:firstLine="480"/>
      </w:pPr>
      <w:r>
        <w:rPr/>
        <w:t>提供由监狱管理局、戒毒管理局（含新疆生产建设兵团）出具的属于监狱企业的证明文件。</w:t>
      </w:r>
    </w:p>
    <w:p>
      <w:pPr>
        <w:pStyle w:val="null3"/>
        <w:ind w:firstLine="480"/>
      </w:pPr>
      <w:r>
        <w:rPr/>
        <w:t xml:space="preserve">  </w:t>
      </w:r>
    </w:p>
    <w:p>
      <w:pPr>
        <w:pStyle w:val="null3"/>
        <w:outlineLvl w:val="2"/>
      </w:pPr>
      <w:r>
        <w:rPr>
          <w:sz w:val="28"/>
          <w:b/>
        </w:rPr>
        <w:t>格式十四：</w:t>
      </w:r>
    </w:p>
    <w:p>
      <w:pPr>
        <w:pStyle w:val="null3"/>
        <w:ind w:firstLine="480"/>
      </w:pPr>
      <w:r>
        <w:rPr/>
        <w:t>（以下格式文件由供应商根据需要选用）</w:t>
      </w:r>
    </w:p>
    <w:p>
      <w:pPr>
        <w:pStyle w:val="null3"/>
        <w:jc w:val="center"/>
        <w:outlineLvl w:val="3"/>
      </w:pPr>
      <w:r>
        <w:rPr>
          <w:sz w:val="24"/>
          <w:b/>
        </w:rPr>
        <w:t>残疾人福利性单位声明函</w:t>
      </w:r>
    </w:p>
    <w:p>
      <w:pPr>
        <w:pStyle w:val="null3"/>
        <w:ind w:firstLine="480"/>
      </w:pPr>
      <w:r>
        <w:rPr/>
        <w:t>本单位郑重声明，根据《财政部 民政部 中国残疾人联合会关于促进残疾人就业政府采购政策的通知》（财库〔2017〕 141号）的规定，本单位为符合条件的残疾人福利性单位，且本单位参加______单位的______项目采购活动提供本单位制造的货物（由本单位承担工程/提供服务），或者提供其他残疾人福利性单位制造的货物（不包括使用非残疾人福利性单位注册商标的货物）。</w:t>
      </w:r>
    </w:p>
    <w:p>
      <w:pPr>
        <w:pStyle w:val="null3"/>
        <w:ind w:firstLine="480"/>
      </w:pPr>
      <w:r>
        <w:rPr/>
        <w:t>本单位对上述声明的真实性负责。如有虚假，将依法承担相应责任。</w:t>
      </w:r>
    </w:p>
    <w:p>
      <w:pPr>
        <w:pStyle w:val="null3"/>
        <w:jc w:val="right"/>
      </w:pPr>
      <w:r>
        <w:rPr/>
        <w:t>单位名称（盖章）：__________________</w:t>
      </w:r>
    </w:p>
    <w:p>
      <w:pPr>
        <w:pStyle w:val="null3"/>
        <w:jc w:val="right"/>
      </w:pPr>
      <w:r>
        <w:rPr/>
        <w:t xml:space="preserve"> 日  期：__________________</w:t>
      </w:r>
    </w:p>
    <w:p>
      <w:pPr>
        <w:pStyle w:val="null3"/>
        <w:ind w:firstLine="480"/>
      </w:pPr>
      <w:r>
        <w:rPr/>
        <w:t>注：本函未填写或未勾选视作未做声明。</w:t>
      </w:r>
    </w:p>
    <w:p>
      <w:pPr>
        <w:pStyle w:val="null3"/>
        <w:ind w:firstLine="480"/>
      </w:pPr>
      <w:r>
        <w:rPr/>
        <w:t xml:space="preserve">  </w:t>
      </w:r>
    </w:p>
    <w:p>
      <w:pPr>
        <w:pStyle w:val="null3"/>
        <w:outlineLvl w:val="2"/>
      </w:pPr>
      <w:r>
        <w:rPr>
          <w:sz w:val="28"/>
          <w:b/>
        </w:rPr>
        <w:t>格式十五：</w:t>
      </w:r>
    </w:p>
    <w:p>
      <w:pPr>
        <w:pStyle w:val="null3"/>
        <w:ind w:firstLine="480"/>
      </w:pPr>
      <w:r>
        <w:rPr/>
        <w:t>（以下格式文件由供应商根据需要选用）</w:t>
      </w:r>
    </w:p>
    <w:p>
      <w:pPr>
        <w:pStyle w:val="null3"/>
        <w:jc w:val="center"/>
        <w:outlineLvl w:val="3"/>
      </w:pPr>
      <w:r>
        <w:rPr>
          <w:sz w:val="24"/>
          <w:b/>
        </w:rPr>
        <w:t>联合体共同响应协议书</w:t>
      </w:r>
    </w:p>
    <w:p>
      <w:pPr>
        <w:pStyle w:val="null3"/>
        <w:ind w:firstLine="480"/>
      </w:pPr>
      <w:r>
        <w:rPr/>
        <w:t>立约方：</w:t>
      </w:r>
      <w:r>
        <w:rPr>
          <w:u w:val="single"/>
        </w:rPr>
        <w:t>（甲公司全称）</w:t>
      </w:r>
    </w:p>
    <w:p>
      <w:pPr>
        <w:pStyle w:val="null3"/>
        <w:ind w:firstLine="480"/>
      </w:pPr>
      <w:r>
        <w:rPr>
          <w:u w:val="single"/>
        </w:rPr>
        <w:t>（乙公司全称）</w:t>
      </w:r>
    </w:p>
    <w:p>
      <w:pPr>
        <w:pStyle w:val="null3"/>
        <w:ind w:firstLine="480"/>
      </w:pPr>
      <w:r>
        <w:rPr>
          <w:u w:val="single"/>
        </w:rPr>
        <w:t>（……公司全称）</w:t>
      </w:r>
    </w:p>
    <w:p>
      <w:pPr>
        <w:pStyle w:val="null3"/>
        <w:ind w:firstLine="480"/>
      </w:pPr>
      <w:r>
        <w:rPr>
          <w:u w:val="single"/>
        </w:rPr>
        <w:t>（甲公司全称）、（乙公司全称）、（……公司全称）</w:t>
      </w:r>
      <w:r>
        <w:rPr/>
        <w:t>自愿组成联合体，以一个供应商的身份共同参加（采购项目名称）（采购项目编号）的响应活动。经各方充分协商一致，就项目的响应和合同实施阶段的有关事务协商一致订立协议如下：</w:t>
      </w:r>
    </w:p>
    <w:p>
      <w:pPr>
        <w:pStyle w:val="null3"/>
        <w:ind w:firstLine="480"/>
      </w:pPr>
      <w:r>
        <w:rPr/>
        <w:t>一、联合体各方关系</w:t>
      </w:r>
    </w:p>
    <w:p>
      <w:pPr>
        <w:pStyle w:val="null3"/>
        <w:ind w:firstLine="480"/>
      </w:pPr>
      <w:r>
        <w:rPr>
          <w:u w:val="single"/>
        </w:rPr>
        <w:t>（甲公司全称）、（乙公司全称）、（……公司全称）</w:t>
      </w:r>
      <w:r>
        <w:rPr/>
        <w:t>共同组成一个联合体，以一个供应商的身份共同参加本项目的响应。（甲公司全称）、（乙公司全称）、（……公司全称）作为联合体成员，若成交，联合体各方共同与（采购人）签订政府采购合同。</w:t>
      </w:r>
    </w:p>
    <w:p>
      <w:pPr>
        <w:pStyle w:val="null3"/>
        <w:ind w:firstLine="480"/>
      </w:pPr>
      <w:r>
        <w:rPr/>
        <w:t>二、联合体内部有关事项约定如下：</w:t>
      </w:r>
    </w:p>
    <w:p>
      <w:pPr>
        <w:pStyle w:val="null3"/>
        <w:ind w:firstLine="480"/>
      </w:pPr>
      <w:r>
        <w:rPr/>
        <w:t>1.（甲公司全称）作为联合体的牵头单位，代表联合体双方负责响应和合同实施阶段的主办、协调工作。</w:t>
      </w:r>
    </w:p>
    <w:p>
      <w:pPr>
        <w:pStyle w:val="null3"/>
        <w:ind w:firstLine="480"/>
      </w:pPr>
      <w:r>
        <w:rPr/>
        <w:t>2.联合体将严格按照文件的各项要求，递交响应文件，切实执行一切合同文件，共同承担合同规定的一切义务和责任，同时按照内部职责的划分，承担自身所负的责任和风险，在法律上承担连带责任。</w:t>
      </w:r>
    </w:p>
    <w:p>
      <w:pPr>
        <w:pStyle w:val="null3"/>
        <w:ind w:firstLine="480"/>
      </w:pPr>
      <w:r>
        <w:rPr/>
        <w:t>3.如果本联合体成交，（甲公司全称）负责本项目___________部分，（乙公司全称）负责本项目___________部分。</w:t>
      </w:r>
    </w:p>
    <w:p>
      <w:pPr>
        <w:pStyle w:val="null3"/>
        <w:ind w:firstLine="480"/>
      </w:pPr>
      <w:r>
        <w:rPr/>
        <w:t>4.如成交，联合体各方共同与（采购人）签订合同书，并就成交项目向采购人负责有连带的和各自的法律责任；</w:t>
      </w:r>
    </w:p>
    <w:p>
      <w:pPr>
        <w:pStyle w:val="null3"/>
        <w:ind w:firstLine="480"/>
      </w:pPr>
      <w:r>
        <w:rPr/>
        <w:t>5.联合体成员（公司全称）为（请填写：小型、微型）企业，将承担合同总金额____%的工作内容（联合体成员中有小型、微型企业时适用）。</w:t>
      </w:r>
    </w:p>
    <w:p>
      <w:pPr>
        <w:pStyle w:val="null3"/>
        <w:ind w:firstLine="480"/>
      </w:pPr>
      <w:r>
        <w:rPr/>
        <w:t xml:space="preserve"> 三、联合体各方不得再以自己名义参与本采购包响应，联合体各方不能作为其它联合体或单独响应单位的项目组成员参加本采购包响应。因发生上述问题导致联合体响应成为无效报价，联合体的其他成员可追究其违约责任和经济损失。</w:t>
      </w:r>
    </w:p>
    <w:p>
      <w:pPr>
        <w:pStyle w:val="null3"/>
        <w:ind w:firstLine="480"/>
      </w:pPr>
      <w:r>
        <w:rPr/>
        <w:t>四、联合体如因违约过失责任而导致采购人经济损失或被索赔时，本联合体任何一方均同意无条件优先清偿采购人的一切债务和经济赔偿。</w:t>
      </w:r>
    </w:p>
    <w:p>
      <w:pPr>
        <w:pStyle w:val="null3"/>
        <w:ind w:firstLine="480"/>
      </w:pPr>
      <w:r>
        <w:rPr/>
        <w:t>五、本协议在自签署之日起生效，有效期内有效，如获成交资格，合同有效期延续至合同履行完毕之日。</w:t>
      </w:r>
    </w:p>
    <w:p>
      <w:pPr>
        <w:pStyle w:val="null3"/>
        <w:ind w:firstLine="480"/>
      </w:pPr>
      <w:r>
        <w:rPr/>
        <w:t>六、本协议书正本一式____份，随响应文件装订____份，送采购人____份，联合体成员各一份；副本一式____份，联合体成员各执____份。</w:t>
      </w:r>
    </w:p>
    <w:p>
      <w:pPr>
        <w:pStyle w:val="null3"/>
        <w:jc w:val="right"/>
      </w:pPr>
      <w:r>
        <w:rPr/>
        <w:t xml:space="preserve"> 甲公司全称：____（盖章）________，乙公司全称：____（盖章）________，……公司全称：____（盖章）________，</w:t>
      </w:r>
    </w:p>
    <w:p>
      <w:pPr>
        <w:pStyle w:val="null3"/>
        <w:jc w:val="right"/>
      </w:pPr>
      <w:r>
        <w:rPr/>
        <w:t xml:space="preserve"> ____年____月 ____日，____年____月____日，____年____月____日</w:t>
      </w:r>
    </w:p>
    <w:p>
      <w:pPr>
        <w:pStyle w:val="null3"/>
        <w:ind w:firstLine="480"/>
      </w:pPr>
      <w:r>
        <w:rPr/>
        <w:t>注：1．联合响应时需签本协议，联合体各方成员应在本协议上共同盖章确认。</w:t>
      </w:r>
    </w:p>
    <w:p>
      <w:pPr>
        <w:pStyle w:val="null3"/>
        <w:ind w:firstLine="480"/>
      </w:pPr>
      <w:r>
        <w:rPr/>
        <w:t>2．本协议内容不得擅自修改。此协议将作为签订合同的附件之一。</w:t>
      </w:r>
    </w:p>
    <w:p>
      <w:pPr>
        <w:pStyle w:val="null3"/>
        <w:ind w:firstLine="480"/>
      </w:pPr>
      <w:r>
        <w:rPr/>
        <w:t xml:space="preserve">  </w:t>
      </w:r>
    </w:p>
    <w:p>
      <w:pPr>
        <w:pStyle w:val="null3"/>
        <w:outlineLvl w:val="2"/>
      </w:pPr>
      <w:r>
        <w:rPr>
          <w:sz w:val="28"/>
          <w:b/>
        </w:rPr>
        <w:t>格式十六：</w:t>
      </w:r>
    </w:p>
    <w:p>
      <w:pPr>
        <w:pStyle w:val="null3"/>
        <w:ind w:firstLine="480"/>
      </w:pPr>
      <w:r>
        <w:rPr/>
        <w:t>（以下格式文件由供应商根据需要选用）</w:t>
      </w:r>
    </w:p>
    <w:p>
      <w:pPr>
        <w:pStyle w:val="null3"/>
        <w:jc w:val="center"/>
        <w:outlineLvl w:val="3"/>
      </w:pPr>
      <w:r>
        <w:rPr>
          <w:sz w:val="24"/>
          <w:b/>
        </w:rPr>
        <w:t>响应供应商业绩情况表</w:t>
      </w:r>
    </w:p>
    <w:tbl>
      <w:tblPr>
        <w:tblW w:w="0" w:type="auto"/>
        <w:tblBorders>
          <w:top w:val="single"/>
          <w:left w:val="single"/>
          <w:bottom w:val="single"/>
          <w:right w:val="single"/>
          <w:insideH w:val="single"/>
          <w:insideV w:val="single"/>
        </w:tblBorders>
      </w:tblPr>
      <w:tblGrid>
        <w:gridCol w:w="1384"/>
        <w:gridCol w:w="1384"/>
        <w:gridCol w:w="1384"/>
        <w:gridCol w:w="1384"/>
        <w:gridCol w:w="1384"/>
        <w:gridCol w:w="1384"/>
      </w:tblGrid>
      <w:tr>
        <w:tc>
          <w:tcPr>
            <w:tcW w:type="dxa" w:w="1384"/>
          </w:tcPr>
          <w:p>
            <w:pPr>
              <w:pStyle w:val="null3"/>
            </w:pPr>
            <w:r>
              <w:rPr/>
              <w:t>序号</w:t>
            </w:r>
          </w:p>
        </w:tc>
        <w:tc>
          <w:tcPr>
            <w:tcW w:type="dxa" w:w="1384"/>
          </w:tcPr>
          <w:p>
            <w:pPr>
              <w:pStyle w:val="null3"/>
            </w:pPr>
            <w:r>
              <w:rPr/>
              <w:t>客户名称</w:t>
            </w:r>
          </w:p>
        </w:tc>
        <w:tc>
          <w:tcPr>
            <w:tcW w:type="dxa" w:w="1384"/>
          </w:tcPr>
          <w:p>
            <w:pPr>
              <w:pStyle w:val="null3"/>
            </w:pPr>
            <w:r>
              <w:rPr/>
              <w:t>项目名称及合同金额（万元）</w:t>
            </w:r>
          </w:p>
        </w:tc>
        <w:tc>
          <w:tcPr>
            <w:tcW w:type="dxa" w:w="1384"/>
          </w:tcPr>
          <w:p>
            <w:pPr>
              <w:pStyle w:val="null3"/>
            </w:pPr>
            <w:r>
              <w:rPr/>
              <w:t>签订合同时间</w:t>
            </w:r>
          </w:p>
        </w:tc>
        <w:tc>
          <w:tcPr>
            <w:tcW w:type="dxa" w:w="1384"/>
          </w:tcPr>
          <w:p>
            <w:pPr>
              <w:pStyle w:val="null3"/>
            </w:pPr>
            <w:r>
              <w:rPr/>
              <w:t>竣工验收报告时间</w:t>
            </w:r>
          </w:p>
        </w:tc>
        <w:tc>
          <w:tcPr>
            <w:tcW w:type="dxa" w:w="1384"/>
          </w:tcPr>
          <w:p>
            <w:pPr>
              <w:pStyle w:val="null3"/>
            </w:pPr>
            <w:r>
              <w:rPr/>
              <w:t>联系人及电话</w:t>
            </w:r>
          </w:p>
        </w:tc>
      </w:tr>
      <w:tr>
        <w:tc>
          <w:tcPr>
            <w:tcW w:type="dxa" w:w="1384"/>
          </w:tcPr>
          <w:p>
            <w:pPr>
              <w:pStyle w:val="null3"/>
              <w:jc w:val="center"/>
            </w:pPr>
            <w:r>
              <w:rPr/>
              <w:t>1</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pPr>
              <w:pStyle w:val="null3"/>
              <w:jc w:val="center"/>
            </w:pPr>
            <w:r>
              <w:rPr/>
              <w:t xml:space="preserve"> 2</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pPr>
              <w:pStyle w:val="null3"/>
              <w:jc w:val="center"/>
            </w:pPr>
            <w:r>
              <w:rPr/>
              <w:t xml:space="preserve"> 3</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pPr>
              <w:pStyle w:val="null3"/>
              <w:jc w:val="center"/>
            </w:pPr>
            <w:r>
              <w:rPr/>
              <w:t xml:space="preserve"> 4</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pPr>
              <w:pStyle w:val="null3"/>
            </w:pPr>
            <w:r>
              <w:rPr/>
              <w:t xml:space="preserve"> …</w:t>
            </w:r>
          </w:p>
        </w:tc>
        <w:tc>
          <w:tcPr>
            <w:tcW w:type="dxa" w:w="1384"/>
          </w:tcPr>
          <w:p/>
        </w:tc>
        <w:tc>
          <w:tcPr>
            <w:tcW w:type="dxa" w:w="1384"/>
          </w:tcPr>
          <w:p/>
        </w:tc>
        <w:tc>
          <w:tcPr>
            <w:tcW w:type="dxa" w:w="1384"/>
          </w:tcPr>
          <w:p/>
        </w:tc>
        <w:tc>
          <w:tcPr>
            <w:tcW w:type="dxa" w:w="1384"/>
          </w:tcPr>
          <w:p/>
        </w:tc>
        <w:tc>
          <w:tcPr>
            <w:tcW w:type="dxa" w:w="1384"/>
          </w:tcPr>
          <w:p/>
        </w:tc>
      </w:tr>
    </w:tbl>
    <w:p>
      <w:pPr>
        <w:pStyle w:val="null3"/>
        <w:ind w:firstLine="480"/>
      </w:pPr>
      <w:r>
        <w:rPr/>
        <w:t>根据上述业绩情况，按磋商文件要求附销售或服务合同复印件。</w:t>
      </w:r>
    </w:p>
    <w:p>
      <w:pPr>
        <w:pStyle w:val="null3"/>
        <w:ind w:firstLine="480"/>
      </w:pPr>
      <w:r>
        <w:rPr/>
        <w:t xml:space="preserve">  </w:t>
      </w:r>
    </w:p>
    <w:p>
      <w:pPr>
        <w:pStyle w:val="null3"/>
        <w:outlineLvl w:val="2"/>
      </w:pPr>
      <w:r>
        <w:rPr>
          <w:sz w:val="28"/>
          <w:b/>
        </w:rPr>
        <w:t>格式十七：</w:t>
      </w:r>
    </w:p>
    <w:p>
      <w:pPr>
        <w:pStyle w:val="null3"/>
        <w:jc w:val="center"/>
        <w:outlineLvl w:val="3"/>
      </w:pPr>
      <w:r>
        <w:rPr>
          <w:sz w:val="24"/>
          <w:b/>
        </w:rPr>
        <w:t>《技术和服务要求响应表》</w:t>
      </w:r>
    </w:p>
    <w:tbl>
      <w:tblPr>
        <w:tblW w:w="0" w:type="auto"/>
        <w:tblBorders>
          <w:top w:val="single"/>
          <w:left w:val="single"/>
          <w:bottom w:val="single"/>
          <w:right w:val="single"/>
          <w:insideH w:val="single"/>
          <w:insideV w:val="single"/>
        </w:tblBorders>
      </w:tblPr>
      <w:tblGrid>
        <w:gridCol w:w="923"/>
        <w:gridCol w:w="923"/>
        <w:gridCol w:w="923"/>
        <w:gridCol w:w="923"/>
        <w:gridCol w:w="923"/>
        <w:gridCol w:w="923"/>
        <w:gridCol w:w="923"/>
        <w:gridCol w:w="923"/>
        <w:gridCol w:w="923"/>
      </w:tblGrid>
      <w:tr>
        <w:tc>
          <w:tcPr>
            <w:tcW w:type="dxa" w:w="923"/>
          </w:tcPr>
          <w:p>
            <w:pPr>
              <w:pStyle w:val="null3"/>
            </w:pPr>
            <w:r>
              <w:rPr/>
              <w:t>序号</w:t>
            </w:r>
          </w:p>
        </w:tc>
        <w:tc>
          <w:tcPr>
            <w:tcW w:type="dxa" w:w="923"/>
          </w:tcPr>
          <w:p>
            <w:pPr>
              <w:pStyle w:val="null3"/>
            </w:pPr>
            <w:r>
              <w:rPr/>
              <w:t>标的名称</w:t>
            </w:r>
          </w:p>
        </w:tc>
        <w:tc>
          <w:tcPr>
            <w:tcW w:type="dxa" w:w="923"/>
          </w:tcPr>
          <w:p>
            <w:pPr>
              <w:pStyle w:val="null3"/>
            </w:pPr>
            <w:r>
              <w:rPr/>
              <w:t>参数性质</w:t>
            </w:r>
          </w:p>
        </w:tc>
        <w:tc>
          <w:tcPr>
            <w:tcW w:type="dxa" w:w="923"/>
          </w:tcPr>
          <w:p>
            <w:pPr>
              <w:pStyle w:val="null3"/>
            </w:pPr>
            <w:r>
              <w:rPr/>
              <w:t>磋商文件规定的技术和服务要求</w:t>
            </w:r>
          </w:p>
        </w:tc>
        <w:tc>
          <w:tcPr>
            <w:tcW w:type="dxa" w:w="923"/>
          </w:tcPr>
          <w:p>
            <w:pPr>
              <w:pStyle w:val="null3"/>
            </w:pPr>
            <w:r>
              <w:rPr/>
              <w:t>响应文件响应的具体内容</w:t>
            </w:r>
          </w:p>
        </w:tc>
        <w:tc>
          <w:tcPr>
            <w:tcW w:type="dxa" w:w="923"/>
          </w:tcPr>
          <w:p>
            <w:pPr>
              <w:pStyle w:val="null3"/>
            </w:pPr>
            <w:r>
              <w:rPr/>
              <w:t>型号</w:t>
            </w:r>
          </w:p>
        </w:tc>
        <w:tc>
          <w:tcPr>
            <w:tcW w:type="dxa" w:w="923"/>
          </w:tcPr>
          <w:p>
            <w:pPr>
              <w:pStyle w:val="null3"/>
            </w:pPr>
            <w:r>
              <w:rPr/>
              <w:t>是否偏离</w:t>
            </w:r>
          </w:p>
        </w:tc>
        <w:tc>
          <w:tcPr>
            <w:tcW w:type="dxa" w:w="923"/>
          </w:tcPr>
          <w:p>
            <w:pPr>
              <w:pStyle w:val="null3"/>
            </w:pPr>
            <w:r>
              <w:rPr/>
              <w:t>证明文件所在位置</w:t>
            </w:r>
          </w:p>
        </w:tc>
        <w:tc>
          <w:tcPr>
            <w:tcW w:type="dxa" w:w="923"/>
          </w:tcPr>
          <w:p>
            <w:pPr>
              <w:pStyle w:val="null3"/>
            </w:pPr>
            <w:r>
              <w:rPr/>
              <w:t>备注</w:t>
            </w:r>
          </w:p>
        </w:tc>
      </w:tr>
      <w:tr>
        <w:tc>
          <w:tcPr>
            <w:tcW w:type="dxa" w:w="923"/>
          </w:tcPr>
          <w:p>
            <w:pPr>
              <w:pStyle w:val="null3"/>
            </w:pPr>
            <w:r>
              <w:rPr/>
              <w:t>1</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2</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3</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4</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5</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6</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bl>
    <w:p>
      <w:pPr>
        <w:pStyle w:val="null3"/>
        <w:ind w:firstLine="480"/>
      </w:pPr>
      <w:r>
        <w:rPr/>
        <w:t>说明：</w:t>
      </w:r>
    </w:p>
    <w:p>
      <w:pPr>
        <w:pStyle w:val="null3"/>
        <w:ind w:firstLine="480"/>
      </w:pPr>
      <w:r>
        <w:rPr/>
        <w:t>1.“磋商文件规定的技术和服务要求”项下填写的内容应与磋商文件中采购需求的 “技术要求”的内容保持一致。供应商应当如实填写上表“响应文件响应的具体内容”处内容，对磋商文件提出的要求和条件作出明确响应，并列明具体响应数值或内容，只注明符合、满足等无具体内容表述的，将视为未实质性满足磋商文件要求。供应商需要说明的内容若需特殊表达，应先在本表中进行相应说明，再另页应答，否则</w:t>
      </w:r>
      <w:r>
        <w:rPr>
          <w:b/>
        </w:rPr>
        <w:t>响应无效</w:t>
      </w:r>
      <w:r>
        <w:rPr/>
        <w:t>。</w:t>
      </w:r>
    </w:p>
    <w:p>
      <w:pPr>
        <w:pStyle w:val="null3"/>
        <w:ind w:firstLine="480"/>
      </w:pPr>
      <w:r>
        <w:rPr/>
        <w:t>2.参数性质栏标注“★”、“▲”号条款标志， 打“★”号条款为实质性条款，若有任何一条负偏离或不满足则导致响应无效。打“▲”号条款为重要技术参数（如有），若有部分“▲”条款未响应或不满足，将根据评审要求影响其得分，但不作为无效响应条款。</w:t>
      </w:r>
    </w:p>
    <w:p>
      <w:pPr>
        <w:pStyle w:val="null3"/>
        <w:ind w:firstLine="480"/>
      </w:pPr>
      <w:r>
        <w:rPr/>
        <w:t>3.“是否偏离”项下应按下列规定填写：优于的，填写“正偏离”；符合的，填写“无偏离”；低于的，填写“负偏离”。</w:t>
      </w:r>
    </w:p>
    <w:p>
      <w:pPr>
        <w:pStyle w:val="null3"/>
        <w:ind w:firstLine="480"/>
      </w:pPr>
      <w:r>
        <w:rPr/>
        <w:t>4.“备注”处可填写偏离情况的说明。</w:t>
      </w:r>
    </w:p>
    <w:p>
      <w:pPr>
        <w:pStyle w:val="null3"/>
        <w:ind w:firstLine="480"/>
      </w:pPr>
      <w:r>
        <w:rPr/>
        <w:t xml:space="preserve">  </w:t>
      </w:r>
    </w:p>
    <w:p>
      <w:pPr>
        <w:pStyle w:val="null3"/>
        <w:outlineLvl w:val="2"/>
      </w:pPr>
      <w:r>
        <w:rPr>
          <w:sz w:val="28"/>
          <w:b/>
        </w:rPr>
        <w:t>格式十八：</w:t>
      </w:r>
    </w:p>
    <w:p>
      <w:pPr>
        <w:pStyle w:val="null3"/>
        <w:jc w:val="center"/>
        <w:outlineLvl w:val="3"/>
      </w:pPr>
      <w:r>
        <w:rPr>
          <w:sz w:val="24"/>
          <w:b/>
        </w:rPr>
        <w:t>《商务条件响应表》</w:t>
      </w:r>
    </w:p>
    <w:tbl>
      <w:tblPr>
        <w:tblW w:w="0" w:type="auto"/>
        <w:tblBorders>
          <w:top w:val="single"/>
          <w:left w:val="single"/>
          <w:bottom w:val="single"/>
          <w:right w:val="single"/>
          <w:insideH w:val="single"/>
          <w:insideV w:val="single"/>
        </w:tblBorders>
      </w:tblPr>
      <w:tblGrid>
        <w:gridCol w:w="1187"/>
        <w:gridCol w:w="1187"/>
        <w:gridCol w:w="1187"/>
        <w:gridCol w:w="1187"/>
        <w:gridCol w:w="1187"/>
        <w:gridCol w:w="1187"/>
        <w:gridCol w:w="1187"/>
      </w:tblGrid>
      <w:tr>
        <w:tc>
          <w:tcPr>
            <w:tcW w:type="dxa" w:w="1187"/>
          </w:tcPr>
          <w:p>
            <w:pPr>
              <w:pStyle w:val="null3"/>
            </w:pPr>
            <w:r>
              <w:rPr/>
              <w:t xml:space="preserve"> 序号</w:t>
            </w:r>
          </w:p>
        </w:tc>
        <w:tc>
          <w:tcPr>
            <w:tcW w:type="dxa" w:w="1187"/>
          </w:tcPr>
          <w:p>
            <w:pPr>
              <w:pStyle w:val="null3"/>
            </w:pPr>
            <w:r>
              <w:rPr/>
              <w:t xml:space="preserve"> 参数性质</w:t>
            </w:r>
          </w:p>
        </w:tc>
        <w:tc>
          <w:tcPr>
            <w:tcW w:type="dxa" w:w="1187"/>
          </w:tcPr>
          <w:p>
            <w:pPr>
              <w:pStyle w:val="null3"/>
            </w:pPr>
            <w:r>
              <w:rPr/>
              <w:t xml:space="preserve"> 磋商文件规定的商务条件</w:t>
            </w:r>
          </w:p>
        </w:tc>
        <w:tc>
          <w:tcPr>
            <w:tcW w:type="dxa" w:w="1187"/>
          </w:tcPr>
          <w:p>
            <w:pPr>
              <w:pStyle w:val="null3"/>
            </w:pPr>
            <w:r>
              <w:rPr/>
              <w:t xml:space="preserve"> 响应文件响应的具体内容</w:t>
            </w:r>
          </w:p>
        </w:tc>
        <w:tc>
          <w:tcPr>
            <w:tcW w:type="dxa" w:w="1187"/>
          </w:tcPr>
          <w:p>
            <w:pPr>
              <w:pStyle w:val="null3"/>
            </w:pPr>
            <w:r>
              <w:rPr/>
              <w:t xml:space="preserve"> 是否偏离</w:t>
            </w:r>
          </w:p>
        </w:tc>
        <w:tc>
          <w:tcPr>
            <w:tcW w:type="dxa" w:w="1187"/>
          </w:tcPr>
          <w:p>
            <w:pPr>
              <w:pStyle w:val="null3"/>
            </w:pPr>
            <w:r>
              <w:rPr/>
              <w:t xml:space="preserve"> 证明文件所在位置</w:t>
            </w:r>
          </w:p>
        </w:tc>
        <w:tc>
          <w:tcPr>
            <w:tcW w:type="dxa" w:w="1187"/>
          </w:tcPr>
          <w:p>
            <w:pPr>
              <w:pStyle w:val="null3"/>
            </w:pPr>
            <w:r>
              <w:rPr/>
              <w:t xml:space="preserve"> 备注</w:t>
            </w:r>
          </w:p>
        </w:tc>
      </w:tr>
      <w:tr>
        <w:tc>
          <w:tcPr>
            <w:tcW w:type="dxa" w:w="1187"/>
          </w:tcPr>
          <w:p>
            <w:pPr>
              <w:pStyle w:val="null3"/>
              <w:jc w:val="center"/>
            </w:pPr>
            <w:r>
              <w:rPr/>
              <w:t>1</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jc w:val="center"/>
            </w:pPr>
            <w:r>
              <w:rPr/>
              <w:t>2</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jc w:val="center"/>
            </w:pPr>
            <w:r>
              <w:rPr/>
              <w:t>3</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jc w:val="center"/>
            </w:pPr>
            <w:r>
              <w:rPr/>
              <w:t>4</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jc w:val="center"/>
            </w:pPr>
            <w:r>
              <w:rPr/>
              <w:t>5</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jc w:val="center"/>
            </w:pPr>
            <w:r>
              <w:rPr/>
              <w:t>6</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jc w:val="center"/>
            </w:pPr>
            <w:r>
              <w:rPr/>
              <w:t>7</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jc w:val="center"/>
            </w:pPr>
            <w:r>
              <w:rPr/>
              <w:t>8</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jc w:val="center"/>
            </w:pPr>
            <w:r>
              <w:rPr/>
              <w:t>9</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jc w:val="center"/>
            </w:pPr>
            <w:r>
              <w:rPr/>
              <w:t xml:space="preserve"> ……</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bl>
    <w:p>
      <w:pPr>
        <w:pStyle w:val="null3"/>
        <w:ind w:firstLine="480"/>
      </w:pPr>
      <w:r>
        <w:rPr/>
        <w:t>说明：</w:t>
      </w:r>
    </w:p>
    <w:p>
      <w:pPr>
        <w:pStyle w:val="null3"/>
        <w:ind w:firstLine="480"/>
      </w:pPr>
      <w:r>
        <w:rPr/>
        <w:t>1.“磋商文件规定的商务条件”项下填写的内容应与磋商文件中采购需求的 “商务要求”的内容保持一致。</w:t>
      </w:r>
    </w:p>
    <w:p>
      <w:pPr>
        <w:pStyle w:val="null3"/>
        <w:ind w:firstLine="480"/>
      </w:pPr>
      <w:r>
        <w:rPr/>
        <w:t xml:space="preserve"> 2.供应商应当如实填写上表“响应文件响应的具体内容”处内容，对磋商文件规定的商务条件作出明确响应，并列明具体响应数值或内容，只注明符合、满足等无具体内容表述的，将视为未实质性满足磋商文件要求。供应商需要说明的内容若需特殊表达，应先在本表中进行相应说明，再另页应答，否则</w:t>
      </w:r>
      <w:r>
        <w:rPr>
          <w:b/>
        </w:rPr>
        <w:t>响应无效</w:t>
      </w:r>
      <w:r>
        <w:rPr/>
        <w:t>。</w:t>
      </w:r>
    </w:p>
    <w:p>
      <w:pPr>
        <w:pStyle w:val="null3"/>
        <w:ind w:firstLine="480"/>
      </w:pPr>
      <w:r>
        <w:rPr/>
        <w:t>3.参数性质栏标注“★”、“▲”号条款标志， 打“★”号条款为实质性条款，若有任何一条负偏离或不满足则导致响应无效。打“▲”号条款为重要技术参数（如有），若有部分“▲”条款未响应或不满足，将根据评审要求影响其得分，但不作为无效响应条款。</w:t>
      </w:r>
    </w:p>
    <w:p>
      <w:pPr>
        <w:pStyle w:val="null3"/>
        <w:ind w:firstLine="480"/>
      </w:pPr>
      <w:r>
        <w:rPr/>
        <w:t>4.“是否偏离”项下应按下列规定填写：优于的，填写“正偏离”；符合的，填写“无偏离”；低于的，填写“负偏离”。</w:t>
      </w:r>
    </w:p>
    <w:p>
      <w:pPr>
        <w:pStyle w:val="null3"/>
        <w:ind w:firstLine="480"/>
      </w:pPr>
      <w:r>
        <w:rPr/>
        <w:t>5.“备注”处可填写偏离情况的说明。</w:t>
      </w:r>
    </w:p>
    <w:p>
      <w:pPr>
        <w:pStyle w:val="null3"/>
        <w:ind w:firstLine="480"/>
      </w:pPr>
      <w:r>
        <w:rPr/>
        <w:t xml:space="preserve">  </w:t>
      </w:r>
    </w:p>
    <w:p>
      <w:pPr>
        <w:pStyle w:val="null3"/>
        <w:outlineLvl w:val="2"/>
      </w:pPr>
      <w:r>
        <w:rPr>
          <w:sz w:val="28"/>
          <w:b/>
        </w:rPr>
        <w:t>格式十九：</w:t>
      </w:r>
    </w:p>
    <w:p>
      <w:pPr>
        <w:pStyle w:val="null3"/>
        <w:ind w:firstLine="480"/>
      </w:pPr>
      <w:r>
        <w:rPr/>
        <w:t>（以下格式文件由供应商根据需要选用）</w:t>
      </w:r>
    </w:p>
    <w:p>
      <w:pPr>
        <w:pStyle w:val="null3"/>
        <w:jc w:val="center"/>
        <w:outlineLvl w:val="3"/>
      </w:pPr>
      <w:r>
        <w:rPr>
          <w:sz w:val="24"/>
          <w:b/>
        </w:rPr>
        <w:t>履约进度计划表</w:t>
      </w:r>
    </w:p>
    <w:tbl>
      <w:tblPr>
        <w:tblW w:w="0" w:type="auto"/>
        <w:tblBorders>
          <w:top w:val="single"/>
          <w:left w:val="single"/>
          <w:bottom w:val="single"/>
          <w:right w:val="single"/>
          <w:insideH w:val="single"/>
          <w:insideV w:val="single"/>
        </w:tblBorders>
      </w:tblPr>
      <w:tblGrid>
        <w:gridCol w:w="2076"/>
        <w:gridCol w:w="2076"/>
        <w:gridCol w:w="2076"/>
        <w:gridCol w:w="2076"/>
      </w:tblGrid>
      <w:tr>
        <w:tc>
          <w:tcPr>
            <w:tcW w:type="dxa" w:w="2076"/>
          </w:tcPr>
          <w:p>
            <w:pPr>
              <w:pStyle w:val="null3"/>
            </w:pPr>
            <w:r>
              <w:rPr/>
              <w:t>序号</w:t>
            </w:r>
          </w:p>
        </w:tc>
        <w:tc>
          <w:tcPr>
            <w:tcW w:type="dxa" w:w="2076"/>
          </w:tcPr>
          <w:p>
            <w:pPr>
              <w:pStyle w:val="null3"/>
            </w:pPr>
            <w:r>
              <w:rPr/>
              <w:t xml:space="preserve"> 拟定时间安排</w:t>
            </w:r>
          </w:p>
        </w:tc>
        <w:tc>
          <w:tcPr>
            <w:tcW w:type="dxa" w:w="2076"/>
          </w:tcPr>
          <w:p>
            <w:pPr>
              <w:pStyle w:val="null3"/>
            </w:pPr>
            <w:r>
              <w:rPr/>
              <w:t xml:space="preserve"> 计划完成的工作内容</w:t>
            </w:r>
          </w:p>
        </w:tc>
        <w:tc>
          <w:tcPr>
            <w:tcW w:type="dxa" w:w="2076"/>
          </w:tcPr>
          <w:p>
            <w:pPr>
              <w:pStyle w:val="null3"/>
            </w:pPr>
            <w:r>
              <w:rPr/>
              <w:t xml:space="preserve"> 实施方建议或要求</w:t>
            </w:r>
          </w:p>
        </w:tc>
      </w:tr>
      <w:tr>
        <w:tc>
          <w:tcPr>
            <w:tcW w:type="dxa" w:w="2076"/>
          </w:tcPr>
          <w:p>
            <w:pPr>
              <w:pStyle w:val="null3"/>
              <w:jc w:val="center"/>
            </w:pPr>
            <w:r>
              <w:rPr/>
              <w:t xml:space="preserve"> 1</w:t>
            </w:r>
          </w:p>
        </w:tc>
        <w:tc>
          <w:tcPr>
            <w:tcW w:type="dxa" w:w="2076"/>
          </w:tcPr>
          <w:p>
            <w:pPr>
              <w:pStyle w:val="null3"/>
            </w:pPr>
            <w:r>
              <w:rPr/>
              <w:t xml:space="preserve"> 拟定___年___月___日</w:t>
            </w:r>
          </w:p>
        </w:tc>
        <w:tc>
          <w:tcPr>
            <w:tcW w:type="dxa" w:w="2076"/>
          </w:tcPr>
          <w:p>
            <w:pPr>
              <w:pStyle w:val="null3"/>
            </w:pPr>
            <w:r>
              <w:rPr/>
              <w:t xml:space="preserve"> 签订合同并生效</w:t>
            </w:r>
          </w:p>
        </w:tc>
        <w:tc>
          <w:tcPr>
            <w:tcW w:type="dxa" w:w="2076"/>
          </w:tcPr>
          <w:p/>
        </w:tc>
      </w:tr>
      <w:tr>
        <w:tc>
          <w:tcPr>
            <w:tcW w:type="dxa" w:w="2076"/>
          </w:tcPr>
          <w:p>
            <w:pPr>
              <w:pStyle w:val="null3"/>
              <w:jc w:val="center"/>
            </w:pPr>
            <w:r>
              <w:rPr/>
              <w:t xml:space="preserve"> 2</w:t>
            </w:r>
          </w:p>
        </w:tc>
        <w:tc>
          <w:tcPr>
            <w:tcW w:type="dxa" w:w="2076"/>
          </w:tcPr>
          <w:p>
            <w:pPr>
              <w:pStyle w:val="null3"/>
            </w:pPr>
            <w:r>
              <w:rPr/>
              <w:t xml:space="preserve"> ___月___日—___月___日</w:t>
            </w:r>
          </w:p>
        </w:tc>
        <w:tc>
          <w:tcPr>
            <w:tcW w:type="dxa" w:w="2076"/>
          </w:tcPr>
          <w:p/>
        </w:tc>
        <w:tc>
          <w:tcPr>
            <w:tcW w:type="dxa" w:w="2076"/>
          </w:tcPr>
          <w:p/>
        </w:tc>
      </w:tr>
      <w:tr>
        <w:tc>
          <w:tcPr>
            <w:tcW w:type="dxa" w:w="2076"/>
          </w:tcPr>
          <w:p>
            <w:pPr>
              <w:pStyle w:val="null3"/>
              <w:jc w:val="center"/>
            </w:pPr>
            <w:r>
              <w:rPr/>
              <w:t xml:space="preserve"> 3</w:t>
            </w:r>
          </w:p>
        </w:tc>
        <w:tc>
          <w:tcPr>
            <w:tcW w:type="dxa" w:w="2076"/>
          </w:tcPr>
          <w:p>
            <w:pPr>
              <w:pStyle w:val="null3"/>
            </w:pPr>
            <w:r>
              <w:rPr/>
              <w:t xml:space="preserve"> ___月___日—___月___日</w:t>
            </w:r>
          </w:p>
        </w:tc>
        <w:tc>
          <w:tcPr>
            <w:tcW w:type="dxa" w:w="2076"/>
          </w:tcPr>
          <w:p/>
        </w:tc>
        <w:tc>
          <w:tcPr>
            <w:tcW w:type="dxa" w:w="2076"/>
          </w:tcPr>
          <w:p/>
        </w:tc>
      </w:tr>
      <w:tr>
        <w:tc>
          <w:tcPr>
            <w:tcW w:type="dxa" w:w="2076"/>
          </w:tcPr>
          <w:p>
            <w:pPr>
              <w:pStyle w:val="null3"/>
              <w:jc w:val="center"/>
            </w:pPr>
            <w:r>
              <w:rPr/>
              <w:t xml:space="preserve"> 4</w:t>
            </w:r>
          </w:p>
        </w:tc>
        <w:tc>
          <w:tcPr>
            <w:tcW w:type="dxa" w:w="2076"/>
          </w:tcPr>
          <w:p>
            <w:pPr>
              <w:pStyle w:val="null3"/>
            </w:pPr>
            <w:r>
              <w:rPr/>
              <w:t xml:space="preserve"> ___月___日—___月___日</w:t>
            </w:r>
          </w:p>
        </w:tc>
        <w:tc>
          <w:tcPr>
            <w:tcW w:type="dxa" w:w="2076"/>
          </w:tcPr>
          <w:p>
            <w:pPr>
              <w:pStyle w:val="null3"/>
            </w:pPr>
            <w:r>
              <w:rPr/>
              <w:t xml:space="preserve"> 质保期</w:t>
            </w:r>
          </w:p>
        </w:tc>
        <w:tc>
          <w:tcPr>
            <w:tcW w:type="dxa" w:w="2076"/>
          </w:tcPr>
          <w:p/>
        </w:tc>
      </w:tr>
    </w:tbl>
    <w:p>
      <w:pPr>
        <w:pStyle w:val="null3"/>
        <w:ind w:firstLine="480"/>
      </w:pPr>
      <w:r>
        <w:rPr/>
        <w:t xml:space="preserve">  </w:t>
      </w:r>
    </w:p>
    <w:p>
      <w:pPr>
        <w:pStyle w:val="null3"/>
        <w:outlineLvl w:val="2"/>
      </w:pPr>
      <w:r>
        <w:rPr>
          <w:sz w:val="28"/>
          <w:b/>
        </w:rPr>
        <w:t>格式二十：</w:t>
      </w:r>
    </w:p>
    <w:p>
      <w:pPr>
        <w:pStyle w:val="null3"/>
        <w:ind w:firstLine="480"/>
      </w:pPr>
      <w:r>
        <w:rPr/>
        <w:t>（以下格式文件由供应商根据需要选用）</w:t>
      </w:r>
    </w:p>
    <w:p>
      <w:pPr>
        <w:pStyle w:val="null3"/>
        <w:jc w:val="center"/>
        <w:outlineLvl w:val="3"/>
      </w:pPr>
      <w:r>
        <w:rPr>
          <w:sz w:val="24"/>
          <w:b/>
        </w:rPr>
        <w:t>各类证明材料</w:t>
      </w:r>
    </w:p>
    <w:p>
      <w:pPr>
        <w:pStyle w:val="null3"/>
        <w:ind w:firstLine="480"/>
      </w:pPr>
      <w:r>
        <w:rPr/>
        <w:t>1.磋商文件要求提供的其他资料。</w:t>
      </w:r>
    </w:p>
    <w:p>
      <w:pPr>
        <w:pStyle w:val="null3"/>
        <w:ind w:firstLine="480"/>
      </w:pPr>
      <w:r>
        <w:rPr/>
        <w:t>2.供应商认为需提供的其他资料。</w:t>
      </w:r>
    </w:p>
    <w:p>
      <w:pPr>
        <w:pStyle w:val="null3"/>
        <w:ind w:firstLine="480"/>
      </w:pPr>
      <w:r>
        <w:rPr/>
        <w:t xml:space="preserve">  </w:t>
      </w:r>
    </w:p>
    <w:p>
      <w:pPr>
        <w:pStyle w:val="null3"/>
        <w:outlineLvl w:val="2"/>
      </w:pPr>
      <w:r>
        <w:rPr>
          <w:sz w:val="28"/>
          <w:b/>
        </w:rPr>
        <w:t>格式二十一：</w:t>
      </w:r>
    </w:p>
    <w:p>
      <w:pPr>
        <w:pStyle w:val="null3"/>
        <w:ind w:firstLine="480"/>
      </w:pPr>
      <w:r>
        <w:rPr/>
        <w:t>（若采购人支付代理服务费，则无需出具此承诺书）</w:t>
      </w:r>
    </w:p>
    <w:p>
      <w:pPr>
        <w:pStyle w:val="null3"/>
        <w:jc w:val="center"/>
        <w:outlineLvl w:val="3"/>
      </w:pPr>
      <w:r>
        <w:rPr>
          <w:sz w:val="24"/>
          <w:b/>
        </w:rPr>
        <w:t>代理服务费缴纳承诺函</w:t>
      </w:r>
    </w:p>
    <w:p>
      <w:pPr>
        <w:pStyle w:val="null3"/>
        <w:ind w:firstLine="480"/>
      </w:pPr>
      <w:r>
        <w:rPr/>
        <w:t>致：</w:t>
      </w:r>
      <w:r>
        <w:rPr/>
        <w:t>广东省建东工程监理有限公司中山分公司</w:t>
      </w:r>
    </w:p>
    <w:p>
      <w:pPr>
        <w:pStyle w:val="null3"/>
        <w:ind w:firstLine="480"/>
      </w:pPr>
      <w:r>
        <w:rPr/>
        <w:t>我单位参加贵公司组织的</w:t>
      </w:r>
      <w:r>
        <w:rPr/>
        <w:t>民众街道民众分局视频监控运维升级改造项目</w:t>
      </w:r>
      <w:r>
        <w:rPr/>
        <w:t>（采购项目编号：</w:t>
      </w:r>
      <w:r>
        <w:rPr/>
        <w:t>ZSJD25ZC0118</w:t>
      </w:r>
      <w:r>
        <w:rPr/>
        <w:t>），作出如下承诺：</w:t>
      </w:r>
    </w:p>
    <w:p>
      <w:pPr>
        <w:pStyle w:val="null3"/>
        <w:ind w:firstLine="480"/>
      </w:pPr>
      <w:r>
        <w:rPr/>
        <w:t>1、完全响应磋商文件中要求的条款，若提供虚假资料将作为无效响应处理，并接受相关部门的处罚。</w:t>
      </w:r>
    </w:p>
    <w:p>
      <w:pPr>
        <w:pStyle w:val="null3"/>
        <w:ind w:firstLine="480"/>
      </w:pPr>
      <w:r>
        <w:rPr/>
        <w:t xml:space="preserve"> 2、我单位若被选为成交供应商，承诺按照规定缴纳代理服务费。代理服务费包括组织专家对审查供应商资格、答疑、组织磋商、评审、确定成交供应商，以及提供采购前期咨询、协调合同的签订等服务，按______支付。</w:t>
      </w:r>
    </w:p>
    <w:p>
      <w:pPr>
        <w:pStyle w:val="null3"/>
        <w:ind w:firstLine="480"/>
      </w:pPr>
      <w:r>
        <w:rPr/>
        <w:t>3、如我公司被选为成交供应商，在成交结果公示后3日内向采购代理机构指定账户缴付代理服务费。</w:t>
      </w:r>
    </w:p>
    <w:p>
      <w:pPr>
        <w:pStyle w:val="null3"/>
        <w:ind w:firstLine="480"/>
      </w:pPr>
      <w:r>
        <w:rPr/>
        <w:t>特此承诺！</w:t>
      </w:r>
    </w:p>
    <w:p>
      <w:pPr>
        <w:pStyle w:val="null3"/>
        <w:jc w:val="right"/>
      </w:pPr>
      <w:r>
        <w:rPr/>
        <w:t>供应商法定名称（公章）；_____________________</w:t>
      </w:r>
    </w:p>
    <w:p>
      <w:pPr>
        <w:pStyle w:val="null3"/>
        <w:jc w:val="right"/>
      </w:pPr>
      <w:r>
        <w:rPr/>
        <w:t>供应商法定地址：_____________________</w:t>
      </w:r>
    </w:p>
    <w:p>
      <w:pPr>
        <w:pStyle w:val="null3"/>
        <w:jc w:val="right"/>
      </w:pPr>
      <w:r>
        <w:rPr/>
        <w:t>供应商授权代表（签字或盖章）：_____________________</w:t>
      </w:r>
    </w:p>
    <w:p>
      <w:pPr>
        <w:pStyle w:val="null3"/>
        <w:jc w:val="right"/>
      </w:pPr>
      <w:r>
        <w:rPr/>
        <w:t>电 话：_____________________</w:t>
      </w:r>
    </w:p>
    <w:p>
      <w:pPr>
        <w:pStyle w:val="null3"/>
        <w:jc w:val="right"/>
      </w:pPr>
      <w:r>
        <w:rPr/>
        <w:t>传 真：_____________________</w:t>
      </w:r>
    </w:p>
    <w:p>
      <w:pPr>
        <w:pStyle w:val="null3"/>
        <w:jc w:val="right"/>
      </w:pPr>
      <w:r>
        <w:rPr/>
        <w:t>承诺日期：_____________________</w:t>
      </w:r>
    </w:p>
    <w:p>
      <w:pPr>
        <w:pStyle w:val="null3"/>
        <w:ind w:firstLine="480"/>
      </w:pPr>
      <w:r>
        <w:rPr/>
        <w:t xml:space="preserve">  </w:t>
      </w:r>
    </w:p>
    <w:p>
      <w:pPr>
        <w:pStyle w:val="null3"/>
        <w:outlineLvl w:val="2"/>
      </w:pPr>
      <w:r>
        <w:rPr>
          <w:sz w:val="28"/>
          <w:b/>
        </w:rPr>
        <w:t>格式二十二：</w:t>
      </w:r>
    </w:p>
    <w:p>
      <w:pPr>
        <w:pStyle w:val="null3"/>
        <w:ind w:firstLine="480"/>
      </w:pPr>
      <w:r>
        <w:rPr/>
        <w:t>（以下格式文件由供应商根据需要选用）</w:t>
      </w:r>
    </w:p>
    <w:p>
      <w:pPr>
        <w:pStyle w:val="null3"/>
        <w:jc w:val="center"/>
        <w:outlineLvl w:val="3"/>
      </w:pPr>
      <w:r>
        <w:rPr>
          <w:sz w:val="24"/>
          <w:b/>
        </w:rPr>
        <w:t>需要采购人提供的附加条件</w:t>
      </w:r>
    </w:p>
    <w:tbl>
      <w:tblPr>
        <w:tblW w:w="0" w:type="auto"/>
        <w:tblBorders>
          <w:top w:val="single"/>
          <w:left w:val="single"/>
          <w:bottom w:val="single"/>
          <w:right w:val="single"/>
          <w:insideH w:val="single"/>
          <w:insideV w:val="single"/>
        </w:tblBorders>
      </w:tblPr>
      <w:tblGrid>
        <w:gridCol w:w="4153"/>
        <w:gridCol w:w="4153"/>
      </w:tblGrid>
      <w:tr>
        <w:tc>
          <w:tcPr>
            <w:tcW w:type="dxa" w:w="4153"/>
          </w:tcPr>
          <w:p>
            <w:pPr>
              <w:pStyle w:val="null3"/>
            </w:pPr>
            <w:r>
              <w:rPr/>
              <w:t>序号</w:t>
            </w:r>
          </w:p>
        </w:tc>
        <w:tc>
          <w:tcPr>
            <w:tcW w:type="dxa" w:w="4153"/>
          </w:tcPr>
          <w:p>
            <w:pPr>
              <w:pStyle w:val="null3"/>
            </w:pPr>
            <w:r>
              <w:rPr/>
              <w:t>供应商需要采购人提供的附加条件</w:t>
            </w:r>
          </w:p>
        </w:tc>
      </w:tr>
      <w:tr>
        <w:tc>
          <w:tcPr>
            <w:tcW w:type="dxa" w:w="4153"/>
          </w:tcPr>
          <w:p>
            <w:pPr>
              <w:pStyle w:val="null3"/>
              <w:jc w:val="center"/>
            </w:pPr>
            <w:r>
              <w:rPr/>
              <w:t xml:space="preserve"> 1</w:t>
            </w:r>
          </w:p>
        </w:tc>
        <w:tc>
          <w:tcPr>
            <w:tcW w:type="dxa" w:w="4153"/>
          </w:tcPr>
          <w:p/>
        </w:tc>
      </w:tr>
      <w:tr>
        <w:tc>
          <w:tcPr>
            <w:tcW w:type="dxa" w:w="4153"/>
          </w:tcPr>
          <w:p>
            <w:pPr>
              <w:pStyle w:val="null3"/>
              <w:jc w:val="center"/>
            </w:pPr>
            <w:r>
              <w:rPr/>
              <w:t xml:space="preserve"> 2</w:t>
            </w:r>
          </w:p>
        </w:tc>
        <w:tc>
          <w:tcPr>
            <w:tcW w:type="dxa" w:w="4153"/>
          </w:tcPr>
          <w:p/>
        </w:tc>
      </w:tr>
      <w:tr>
        <w:tc>
          <w:tcPr>
            <w:tcW w:type="dxa" w:w="4153"/>
          </w:tcPr>
          <w:p>
            <w:pPr>
              <w:pStyle w:val="null3"/>
              <w:jc w:val="center"/>
            </w:pPr>
            <w:r>
              <w:rPr/>
              <w:t xml:space="preserve"> 3</w:t>
            </w:r>
          </w:p>
        </w:tc>
        <w:tc>
          <w:tcPr>
            <w:tcW w:type="dxa" w:w="4153"/>
          </w:tcPr>
          <w:p/>
        </w:tc>
      </w:tr>
    </w:tbl>
    <w:p>
      <w:pPr>
        <w:pStyle w:val="null3"/>
        <w:ind w:firstLine="480"/>
      </w:pPr>
      <w:r>
        <w:rPr/>
        <w:t>注：供应商完成本项目需要采购人配合或提供的条件必须在上表列出，否则将视为供应商同意按现有条件完成本项目。如上表所列附加条件含有采购人不能接受的，将被视为响应无效。</w:t>
      </w:r>
    </w:p>
    <w:p>
      <w:pPr>
        <w:pStyle w:val="null3"/>
        <w:ind w:firstLine="480"/>
      </w:pPr>
      <w:r>
        <w:rPr/>
        <w:t xml:space="preserve">  </w:t>
      </w:r>
    </w:p>
    <w:p>
      <w:pPr>
        <w:pStyle w:val="null3"/>
        <w:outlineLvl w:val="2"/>
      </w:pPr>
      <w:r>
        <w:rPr>
          <w:sz w:val="28"/>
          <w:b/>
        </w:rPr>
        <w:t>格式二十三：</w:t>
      </w:r>
    </w:p>
    <w:p>
      <w:pPr>
        <w:pStyle w:val="null3"/>
        <w:ind w:firstLine="480"/>
      </w:pPr>
      <w:r>
        <w:rPr/>
        <w:t>（以下格式文件由供应商根据需要选用）</w:t>
      </w:r>
    </w:p>
    <w:p>
      <w:pPr>
        <w:pStyle w:val="null3"/>
        <w:jc w:val="center"/>
        <w:outlineLvl w:val="3"/>
      </w:pPr>
      <w:r>
        <w:rPr>
          <w:sz w:val="24"/>
          <w:b/>
        </w:rPr>
        <w:t>询问函、质疑函、投诉书格式</w:t>
      </w:r>
    </w:p>
    <w:p>
      <w:pPr>
        <w:pStyle w:val="null3"/>
        <w:ind w:firstLine="480"/>
      </w:pPr>
      <w:r>
        <w:rPr/>
        <w:t>说明：本部分格式为供应商提交询问函、质疑函、投诉函时使用，不属于响应文件格式的组成部分。</w:t>
      </w:r>
    </w:p>
    <w:p>
      <w:pPr>
        <w:pStyle w:val="null3"/>
        <w:jc w:val="center"/>
        <w:outlineLvl w:val="3"/>
      </w:pPr>
      <w:r>
        <w:rPr>
          <w:sz w:val="24"/>
          <w:b/>
        </w:rPr>
        <w:t>询问函</w:t>
      </w:r>
    </w:p>
    <w:p>
      <w:pPr>
        <w:pStyle w:val="null3"/>
        <w:ind w:firstLine="480"/>
      </w:pPr>
      <w:r>
        <w:rPr/>
        <w:t>广东省建东工程监理有限公司中山分公司</w:t>
      </w:r>
    </w:p>
    <w:p>
      <w:pPr>
        <w:pStyle w:val="null3"/>
        <w:ind w:firstLine="480"/>
      </w:pPr>
      <w:r>
        <w:rPr/>
        <w:t>我单位已登记并准备参与“</w:t>
      </w:r>
      <w:r>
        <w:rPr/>
        <w:t>民众街道民众分局视频监控运维升级改造项目</w:t>
      </w:r>
      <w:r>
        <w:rPr/>
        <w:t>”项目（采购项目编号：</w:t>
      </w:r>
      <w:r>
        <w:rPr/>
        <w:t>ZSJD25ZC0118</w:t>
      </w:r>
      <w:r>
        <w:rPr/>
        <w:t xml:space="preserve"> ）的响应活动，现有以下几个内容（或条款）存在疑问（或无法理解），特提出询问。</w:t>
      </w:r>
    </w:p>
    <w:p>
      <w:pPr>
        <w:pStyle w:val="null3"/>
        <w:ind w:firstLine="480"/>
      </w:pPr>
      <w:r>
        <w:rPr/>
        <w:t>一、_____________________（事项一）</w:t>
      </w:r>
    </w:p>
    <w:p>
      <w:pPr>
        <w:pStyle w:val="null3"/>
        <w:ind w:firstLine="480"/>
      </w:pPr>
      <w:r>
        <w:rPr/>
        <w:t>（1）____________________（问题或条款内容）</w:t>
      </w:r>
    </w:p>
    <w:p>
      <w:pPr>
        <w:pStyle w:val="null3"/>
        <w:ind w:firstLine="480"/>
      </w:pPr>
      <w:r>
        <w:rPr/>
        <w:t>（2）____________________（说明疑问或无法理解原因）</w:t>
      </w:r>
    </w:p>
    <w:p>
      <w:pPr>
        <w:pStyle w:val="null3"/>
        <w:ind w:firstLine="480"/>
      </w:pPr>
      <w:r>
        <w:rPr/>
        <w:t>（3）____________________（建议）</w:t>
      </w:r>
    </w:p>
    <w:p>
      <w:pPr>
        <w:pStyle w:val="null3"/>
        <w:ind w:firstLine="480"/>
      </w:pPr>
      <w:r>
        <w:rPr/>
        <w:t>二、_____________________（事项二）</w:t>
      </w:r>
    </w:p>
    <w:p>
      <w:pPr>
        <w:pStyle w:val="null3"/>
        <w:ind w:firstLine="480"/>
      </w:pPr>
      <w:r>
        <w:rPr/>
        <w:t>...</w:t>
      </w:r>
    </w:p>
    <w:p>
      <w:pPr>
        <w:pStyle w:val="null3"/>
        <w:ind w:firstLine="480"/>
      </w:pPr>
      <w:r>
        <w:rPr/>
        <w:t>随附相关证明材料如下：（目录）</w:t>
      </w:r>
    </w:p>
    <w:p>
      <w:pPr>
        <w:pStyle w:val="null3"/>
        <w:ind w:firstLine="480"/>
      </w:pPr>
      <w:r>
        <w:rPr/>
        <w:t>询问人：（公章）</w:t>
      </w:r>
    </w:p>
    <w:p>
      <w:pPr>
        <w:pStyle w:val="null3"/>
        <w:ind w:firstLine="480"/>
      </w:pPr>
      <w:r>
        <w:rPr/>
        <w:t>法定代表人（授权代表）：</w:t>
      </w:r>
    </w:p>
    <w:p>
      <w:pPr>
        <w:pStyle w:val="null3"/>
        <w:ind w:firstLine="480"/>
      </w:pPr>
      <w:r>
        <w:rPr/>
        <w:t>地址/邮编：</w:t>
      </w:r>
    </w:p>
    <w:p>
      <w:pPr>
        <w:pStyle w:val="null3"/>
        <w:ind w:firstLine="480"/>
      </w:pPr>
      <w:r>
        <w:rPr/>
        <w:t>电话/传真：</w:t>
      </w:r>
    </w:p>
    <w:p>
      <w:pPr>
        <w:pStyle w:val="null3"/>
        <w:jc w:val="right"/>
      </w:pPr>
      <w:r>
        <w:rPr/>
        <w:t xml:space="preserve"> 日  期：__________________</w:t>
      </w:r>
    </w:p>
    <w:p>
      <w:pPr>
        <w:pStyle w:val="null3"/>
        <w:ind w:firstLine="480"/>
      </w:pPr>
      <w:r>
        <w:rPr/>
        <w:t xml:space="preserve">  </w:t>
      </w:r>
    </w:p>
    <w:p>
      <w:pPr>
        <w:pStyle w:val="null3"/>
        <w:jc w:val="center"/>
        <w:outlineLvl w:val="3"/>
      </w:pPr>
      <w:r>
        <w:rPr>
          <w:sz w:val="24"/>
          <w:b/>
        </w:rPr>
        <w:t>质疑函</w:t>
      </w:r>
    </w:p>
    <w:p>
      <w:pPr>
        <w:pStyle w:val="null3"/>
        <w:ind w:firstLine="480"/>
      </w:pPr>
      <w:r>
        <w:rPr/>
        <w:t>一、质疑供应商基本信息</w:t>
      </w:r>
    </w:p>
    <w:p>
      <w:pPr>
        <w:pStyle w:val="null3"/>
        <w:ind w:firstLine="480"/>
      </w:pPr>
      <w:r>
        <w:rPr/>
        <w:t>质疑供应商：__________________________________________</w:t>
      </w:r>
    </w:p>
    <w:p>
      <w:pPr>
        <w:pStyle w:val="null3"/>
        <w:ind w:firstLine="480"/>
      </w:pPr>
      <w:r>
        <w:rPr/>
        <w:t>地址：_____________________邮编：_____________________</w:t>
      </w:r>
    </w:p>
    <w:p>
      <w:pPr>
        <w:pStyle w:val="null3"/>
        <w:ind w:firstLine="480"/>
      </w:pPr>
      <w:r>
        <w:rPr/>
        <w:t>联系：_____________________联系电话：_________________</w:t>
      </w:r>
    </w:p>
    <w:p>
      <w:pPr>
        <w:pStyle w:val="null3"/>
        <w:ind w:firstLine="480"/>
      </w:pPr>
      <w:r>
        <w:rPr/>
        <w:t>授权代表：_____________________</w:t>
      </w:r>
    </w:p>
    <w:p>
      <w:pPr>
        <w:pStyle w:val="null3"/>
        <w:ind w:firstLine="480"/>
      </w:pPr>
      <w:r>
        <w:rPr/>
        <w:t>联系电话：_____________________</w:t>
      </w:r>
    </w:p>
    <w:p>
      <w:pPr>
        <w:pStyle w:val="null3"/>
        <w:ind w:firstLine="480"/>
      </w:pPr>
      <w:r>
        <w:rPr/>
        <w:t>地址：_____________________邮编：_____________________</w:t>
      </w:r>
    </w:p>
    <w:p>
      <w:pPr>
        <w:pStyle w:val="null3"/>
        <w:ind w:firstLine="480"/>
      </w:pPr>
      <w:r>
        <w:rPr/>
        <w:t>二、质疑项目基本情况</w:t>
      </w:r>
    </w:p>
    <w:p>
      <w:pPr>
        <w:pStyle w:val="null3"/>
        <w:ind w:firstLine="480"/>
      </w:pPr>
      <w:r>
        <w:rPr/>
        <w:t>质疑项目的名称：_____________________</w:t>
      </w:r>
    </w:p>
    <w:p>
      <w:pPr>
        <w:pStyle w:val="null3"/>
        <w:ind w:firstLine="480"/>
      </w:pPr>
      <w:r>
        <w:rPr/>
        <w:t>质疑项目的编号：_____________________ 包号：_____________________</w:t>
      </w:r>
    </w:p>
    <w:p>
      <w:pPr>
        <w:pStyle w:val="null3"/>
        <w:ind w:firstLine="480"/>
      </w:pPr>
      <w:r>
        <w:rPr/>
        <w:t>采购人名称：_____________________</w:t>
      </w:r>
    </w:p>
    <w:p>
      <w:pPr>
        <w:pStyle w:val="null3"/>
        <w:ind w:firstLine="480"/>
      </w:pPr>
      <w:r>
        <w:rPr/>
        <w:t>磋商文件获取日期：_____________________</w:t>
      </w:r>
    </w:p>
    <w:p>
      <w:pPr>
        <w:pStyle w:val="null3"/>
        <w:ind w:firstLine="480"/>
      </w:pPr>
      <w:r>
        <w:rPr/>
        <w:t>三、质疑事项具体内容</w:t>
      </w:r>
    </w:p>
    <w:p>
      <w:pPr>
        <w:pStyle w:val="null3"/>
        <w:ind w:firstLine="480"/>
      </w:pPr>
      <w:r>
        <w:rPr/>
        <w:t>质疑事项1：_____________________</w:t>
      </w:r>
    </w:p>
    <w:p>
      <w:pPr>
        <w:pStyle w:val="null3"/>
        <w:ind w:firstLine="480"/>
      </w:pPr>
      <w:r>
        <w:rPr/>
        <w:t>事实依据：_____________________</w:t>
      </w:r>
    </w:p>
    <w:p>
      <w:pPr>
        <w:pStyle w:val="null3"/>
        <w:ind w:firstLine="480"/>
      </w:pPr>
      <w:r>
        <w:rPr/>
        <w:t>法律依据：_____________________</w:t>
      </w:r>
    </w:p>
    <w:p>
      <w:pPr>
        <w:pStyle w:val="null3"/>
        <w:ind w:firstLine="480"/>
      </w:pPr>
      <w:r>
        <w:rPr/>
        <w:t>质疑事项2</w:t>
      </w:r>
    </w:p>
    <w:p>
      <w:pPr>
        <w:pStyle w:val="null3"/>
        <w:ind w:firstLine="480"/>
      </w:pPr>
      <w:r>
        <w:rPr/>
        <w:t>……</w:t>
      </w:r>
    </w:p>
    <w:p>
      <w:pPr>
        <w:pStyle w:val="null3"/>
        <w:ind w:firstLine="480"/>
      </w:pPr>
      <w:r>
        <w:rPr/>
        <w:t>四、与质疑事项相关的质疑请求</w:t>
      </w:r>
    </w:p>
    <w:p>
      <w:pPr>
        <w:pStyle w:val="null3"/>
        <w:ind w:firstLine="480"/>
      </w:pPr>
      <w:r>
        <w:rPr/>
        <w:t>请求：</w:t>
      </w:r>
    </w:p>
    <w:p>
      <w:pPr>
        <w:pStyle w:val="null3"/>
        <w:jc w:val="right"/>
      </w:pPr>
      <w:r>
        <w:rPr/>
        <w:t xml:space="preserve"> 签字(签章)：_____________________ 公章：_____________________</w:t>
      </w:r>
    </w:p>
    <w:p>
      <w:pPr>
        <w:pStyle w:val="null3"/>
        <w:jc w:val="right"/>
      </w:pPr>
      <w:r>
        <w:rPr/>
        <w:t xml:space="preserve"> 日期：_____________________</w:t>
      </w:r>
    </w:p>
    <w:p>
      <w:pPr>
        <w:pStyle w:val="null3"/>
        <w:ind w:firstLine="480"/>
      </w:pPr>
      <w:r>
        <w:rPr/>
        <w:t>质疑函制作说明：</w:t>
      </w:r>
    </w:p>
    <w:p>
      <w:pPr>
        <w:pStyle w:val="null3"/>
        <w:ind w:firstLine="480"/>
      </w:pPr>
      <w:r>
        <w:rPr/>
        <w:t>1.供应商提出质疑时，应提交质疑函和必要的证明材料。</w:t>
      </w:r>
    </w:p>
    <w:p>
      <w:pPr>
        <w:pStyle w:val="null3"/>
        <w:ind w:firstLine="480"/>
      </w:pPr>
      <w:r>
        <w:rPr/>
        <w:t xml:space="preserve"> 2.质疑供应商若委托代理人进行质疑的，质疑函应按要求列明“授权代表”的有关内容，并在附件中提交由质疑供应商签署的授权委托书。授权委托书应载明代理人的姓名或者名称、代理事项、具体权限、期限和相关事项。</w:t>
      </w:r>
    </w:p>
    <w:p>
      <w:pPr>
        <w:pStyle w:val="null3"/>
        <w:ind w:firstLine="480"/>
      </w:pPr>
      <w:r>
        <w:rPr/>
        <w:t>3.质疑供应商若对项目的某一采购包进行质疑，质疑函中应列明具体分包号。</w:t>
      </w:r>
    </w:p>
    <w:p>
      <w:pPr>
        <w:pStyle w:val="null3"/>
        <w:ind w:firstLine="480"/>
      </w:pPr>
      <w:r>
        <w:rPr/>
        <w:t>4.质疑函的质疑事项应具体、明确，并有必要的事实依据和法律依据。</w:t>
      </w:r>
    </w:p>
    <w:p>
      <w:pPr>
        <w:pStyle w:val="null3"/>
        <w:ind w:firstLine="480"/>
      </w:pPr>
      <w:r>
        <w:rPr/>
        <w:t>5.质疑函的质疑请求应与质疑事项相关。</w:t>
      </w:r>
    </w:p>
    <w:p>
      <w:pPr>
        <w:pStyle w:val="null3"/>
        <w:ind w:firstLine="480"/>
      </w:pPr>
      <w:r>
        <w:rPr/>
        <w:t>6.质疑供应商为自然人的，质疑函应由本人签字；质疑供应商为法人或者其他组织的，质疑函应由法定代表人、主要负责人，或者其授权代表签字或者盖章，并加盖公章。</w:t>
      </w:r>
    </w:p>
    <w:p>
      <w:pPr>
        <w:pStyle w:val="null3"/>
        <w:ind w:firstLine="480"/>
      </w:pPr>
      <w:r>
        <w:rPr/>
        <w:t xml:space="preserve">  </w:t>
      </w:r>
    </w:p>
    <w:p>
      <w:pPr>
        <w:pStyle w:val="null3"/>
        <w:jc w:val="center"/>
        <w:outlineLvl w:val="3"/>
      </w:pPr>
      <w:r>
        <w:rPr>
          <w:sz w:val="24"/>
          <w:b/>
        </w:rPr>
        <w:t>投诉书</w:t>
      </w:r>
    </w:p>
    <w:p>
      <w:pPr>
        <w:pStyle w:val="null3"/>
        <w:ind w:firstLine="480"/>
      </w:pPr>
      <w:r>
        <w:rPr/>
        <w:t xml:space="preserve"> 一、投诉相关主体基本情况</w:t>
      </w:r>
    </w:p>
    <w:p>
      <w:pPr>
        <w:pStyle w:val="null3"/>
        <w:ind w:firstLine="480"/>
      </w:pPr>
      <w:r>
        <w:rPr/>
        <w:t xml:space="preserve"> 投诉人：____________________</w:t>
      </w:r>
    </w:p>
    <w:p>
      <w:pPr>
        <w:pStyle w:val="null3"/>
        <w:ind w:firstLine="480"/>
      </w:pPr>
      <w:r>
        <w:rPr/>
        <w:t xml:space="preserve"> 地 址：____________________邮编：____________________</w:t>
      </w:r>
    </w:p>
    <w:p>
      <w:pPr>
        <w:pStyle w:val="null3"/>
        <w:ind w:firstLine="480"/>
      </w:pPr>
      <w:r>
        <w:rPr/>
        <w:t xml:space="preserve"> 法定代表人/主要负责人：____________________</w:t>
      </w:r>
    </w:p>
    <w:p>
      <w:pPr>
        <w:pStyle w:val="null3"/>
        <w:ind w:firstLine="480"/>
      </w:pPr>
      <w:r>
        <w:rPr/>
        <w:t xml:space="preserve"> 联系电话：____________________</w:t>
      </w:r>
    </w:p>
    <w:p>
      <w:pPr>
        <w:pStyle w:val="null3"/>
        <w:ind w:firstLine="480"/>
      </w:pPr>
      <w:r>
        <w:rPr/>
        <w:t xml:space="preserve"> 授权代表：____________________联系电话：____________________</w:t>
      </w:r>
    </w:p>
    <w:p>
      <w:pPr>
        <w:pStyle w:val="null3"/>
        <w:ind w:firstLine="480"/>
      </w:pPr>
      <w:r>
        <w:rPr/>
        <w:t xml:space="preserve"> 地 址：____________________邮编：____________________</w:t>
      </w:r>
    </w:p>
    <w:p>
      <w:pPr>
        <w:pStyle w:val="null3"/>
        <w:ind w:firstLine="480"/>
      </w:pPr>
      <w:r>
        <w:rPr/>
        <w:t xml:space="preserve"> 被投诉人1：____________________</w:t>
      </w:r>
    </w:p>
    <w:p>
      <w:pPr>
        <w:pStyle w:val="null3"/>
        <w:ind w:firstLine="480"/>
      </w:pPr>
      <w:r>
        <w:rPr/>
        <w:t xml:space="preserve"> 地址：____________________邮编：____________________</w:t>
      </w:r>
    </w:p>
    <w:p>
      <w:pPr>
        <w:pStyle w:val="null3"/>
        <w:ind w:firstLine="480"/>
      </w:pPr>
      <w:r>
        <w:rPr/>
        <w:t xml:space="preserve"> 联系人：____________________联系电话：____________________</w:t>
      </w:r>
    </w:p>
    <w:p>
      <w:pPr>
        <w:pStyle w:val="null3"/>
        <w:ind w:firstLine="480"/>
      </w:pPr>
      <w:r>
        <w:rPr/>
        <w:t xml:space="preserve"> 被投诉人2：____________________</w:t>
      </w:r>
    </w:p>
    <w:p>
      <w:pPr>
        <w:pStyle w:val="null3"/>
        <w:ind w:firstLine="480"/>
      </w:pPr>
      <w:r>
        <w:rPr/>
        <w:t xml:space="preserve"> ……</w:t>
      </w:r>
    </w:p>
    <w:p>
      <w:pPr>
        <w:pStyle w:val="null3"/>
        <w:ind w:firstLine="480"/>
      </w:pPr>
      <w:r>
        <w:rPr/>
        <w:t xml:space="preserve"> 相关供应商：</w:t>
      </w:r>
    </w:p>
    <w:p>
      <w:pPr>
        <w:pStyle w:val="null3"/>
        <w:ind w:firstLine="480"/>
      </w:pPr>
      <w:r>
        <w:rPr/>
        <w:t xml:space="preserve"> 地址：____________________邮编：____________________</w:t>
      </w:r>
    </w:p>
    <w:p>
      <w:pPr>
        <w:pStyle w:val="null3"/>
        <w:ind w:firstLine="480"/>
      </w:pPr>
      <w:r>
        <w:rPr/>
        <w:t xml:space="preserve"> 联系人：____________________联系电话：____________________</w:t>
      </w:r>
    </w:p>
    <w:p>
      <w:pPr>
        <w:pStyle w:val="null3"/>
        <w:ind w:firstLine="480"/>
      </w:pPr>
      <w:r>
        <w:rPr/>
        <w:t xml:space="preserve"> 二、投诉项目基本情况</w:t>
      </w:r>
    </w:p>
    <w:p>
      <w:pPr>
        <w:pStyle w:val="null3"/>
        <w:ind w:firstLine="480"/>
      </w:pPr>
      <w:r>
        <w:rPr/>
        <w:t xml:space="preserve"> 采购项目名称：____________________</w:t>
      </w:r>
    </w:p>
    <w:p>
      <w:pPr>
        <w:pStyle w:val="null3"/>
        <w:ind w:firstLine="480"/>
      </w:pPr>
      <w:r>
        <w:rPr/>
        <w:t xml:space="preserve"> 采购项目编号： ____________________包号：____________________</w:t>
      </w:r>
    </w:p>
    <w:p>
      <w:pPr>
        <w:pStyle w:val="null3"/>
        <w:ind w:firstLine="480"/>
      </w:pPr>
      <w:r>
        <w:rPr/>
        <w:t xml:space="preserve"> 采购人名称：____________________</w:t>
      </w:r>
    </w:p>
    <w:p>
      <w:pPr>
        <w:pStyle w:val="null3"/>
        <w:ind w:firstLine="480"/>
      </w:pPr>
      <w:r>
        <w:rPr/>
        <w:t xml:space="preserve"> 代理机构名称：____________________</w:t>
      </w:r>
    </w:p>
    <w:p>
      <w:pPr>
        <w:pStyle w:val="null3"/>
        <w:ind w:firstLine="480"/>
      </w:pPr>
      <w:r>
        <w:rPr/>
        <w:t>磋商文件公告:</w:t>
      </w:r>
      <w:r>
        <w:rPr>
          <w:u w:val="single"/>
        </w:rPr>
        <w:t>是/否</w:t>
      </w:r>
      <w:r>
        <w:rPr/>
        <w:t xml:space="preserve"> 公告期限：</w:t>
      </w:r>
    </w:p>
    <w:p>
      <w:pPr>
        <w:pStyle w:val="null3"/>
        <w:ind w:firstLine="480"/>
      </w:pPr>
      <w:r>
        <w:rPr/>
        <w:t xml:space="preserve"> 采购结果公告:</w:t>
      </w:r>
      <w:r>
        <w:rPr>
          <w:u w:val="single"/>
        </w:rPr>
        <w:t>是/否</w:t>
      </w:r>
      <w:r>
        <w:rPr/>
        <w:t xml:space="preserve"> 公告期限：</w:t>
      </w:r>
    </w:p>
    <w:p>
      <w:pPr>
        <w:pStyle w:val="null3"/>
        <w:ind w:firstLine="480"/>
      </w:pPr>
      <w:r>
        <w:rPr/>
        <w:t xml:space="preserve"> 三、质疑基本情况</w:t>
      </w:r>
    </w:p>
    <w:p>
      <w:pPr>
        <w:pStyle w:val="null3"/>
        <w:ind w:firstLine="480"/>
      </w:pPr>
      <w:r>
        <w:rPr/>
        <w:t xml:space="preserve"> 投诉人于 ____年____月____日,向____________________提出质疑，质疑事项为：________________________________________</w:t>
      </w:r>
    </w:p>
    <w:p>
      <w:pPr>
        <w:pStyle w:val="null3"/>
        <w:ind w:firstLine="480"/>
      </w:pPr>
      <w:r>
        <w:rPr>
          <w:u w:val="single"/>
        </w:rPr>
        <w:t>采购人/代理机构</w:t>
      </w:r>
      <w:r>
        <w:rPr/>
        <w:t>于____年____月____日,就质疑事项作出了答复/没有在法定期限内作出答复。</w:t>
      </w:r>
    </w:p>
    <w:p>
      <w:pPr>
        <w:pStyle w:val="null3"/>
        <w:ind w:firstLine="480"/>
      </w:pPr>
      <w:r>
        <w:rPr/>
        <w:t xml:space="preserve"> 四、投诉事项具体内容</w:t>
      </w:r>
    </w:p>
    <w:p>
      <w:pPr>
        <w:pStyle w:val="null3"/>
        <w:ind w:firstLine="480"/>
      </w:pPr>
      <w:r>
        <w:rPr/>
        <w:t xml:space="preserve"> 投诉事项1：____________________</w:t>
      </w:r>
    </w:p>
    <w:p>
      <w:pPr>
        <w:pStyle w:val="null3"/>
        <w:ind w:firstLine="480"/>
      </w:pPr>
      <w:r>
        <w:rPr/>
        <w:t xml:space="preserve"> 事实依据：____________________</w:t>
      </w:r>
    </w:p>
    <w:p>
      <w:pPr>
        <w:pStyle w:val="null3"/>
        <w:ind w:firstLine="480"/>
      </w:pPr>
      <w:r>
        <w:rPr/>
        <w:t xml:space="preserve"> 法律依据：____________________</w:t>
      </w:r>
    </w:p>
    <w:p>
      <w:pPr>
        <w:pStyle w:val="null3"/>
        <w:ind w:firstLine="480"/>
      </w:pPr>
      <w:r>
        <w:rPr/>
        <w:t xml:space="preserve"> 投诉事项2</w:t>
      </w:r>
    </w:p>
    <w:p>
      <w:pPr>
        <w:pStyle w:val="null3"/>
        <w:ind w:firstLine="480"/>
      </w:pPr>
      <w:r>
        <w:rPr/>
        <w:t xml:space="preserve"> ……</w:t>
      </w:r>
    </w:p>
    <w:p>
      <w:pPr>
        <w:pStyle w:val="null3"/>
        <w:ind w:firstLine="480"/>
      </w:pPr>
      <w:r>
        <w:rPr/>
        <w:t xml:space="preserve"> 五、与投诉事项相关的投诉请求</w:t>
      </w:r>
    </w:p>
    <w:p>
      <w:pPr>
        <w:pStyle w:val="null3"/>
        <w:ind w:firstLine="480"/>
      </w:pPr>
      <w:r>
        <w:rPr/>
        <w:t xml:space="preserve"> 请求：________________________</w:t>
      </w:r>
    </w:p>
    <w:p>
      <w:pPr>
        <w:pStyle w:val="null3"/>
        <w:ind w:firstLine="480"/>
      </w:pPr>
      <w:r>
        <w:rPr/>
        <w:t>签字(签章)：_________公章________</w:t>
      </w:r>
    </w:p>
    <w:p>
      <w:pPr>
        <w:pStyle w:val="null3"/>
        <w:jc w:val="right"/>
      </w:pPr>
      <w:r>
        <w:rPr/>
        <w:t>日期：_____________________</w:t>
      </w:r>
    </w:p>
    <w:p>
      <w:pPr>
        <w:pStyle w:val="null3"/>
        <w:ind w:firstLine="480"/>
      </w:pPr>
      <w:r>
        <w:rPr/>
        <w:t xml:space="preserve"> 投诉书制作说明：</w:t>
      </w:r>
    </w:p>
    <w:p>
      <w:pPr>
        <w:pStyle w:val="null3"/>
        <w:ind w:firstLine="480"/>
      </w:pPr>
      <w:r>
        <w:rPr/>
        <w:t xml:space="preserve"> 1.投诉人提起投诉时，应当提交投诉书和必要的证明材料，并按照被投诉人和与投诉事项有关的供应商数量提供投诉书副本。</w:t>
      </w:r>
    </w:p>
    <w:p>
      <w:pPr>
        <w:pStyle w:val="null3"/>
        <w:ind w:firstLine="480"/>
      </w:pPr>
      <w:r>
        <w:rPr/>
        <w:t xml:space="preserve"> 2.投诉人若委托代理人进行投诉的，投诉书应按照要求列明“授权代表”的有关内容，并在附件中提交由投诉人签署的授权委托书。授权委托书应当载明代理人的姓名或者名称、代理事项、具体权限、期限和相关事项。</w:t>
      </w:r>
    </w:p>
    <w:p>
      <w:pPr>
        <w:pStyle w:val="null3"/>
        <w:ind w:firstLine="480"/>
      </w:pPr>
      <w:r>
        <w:rPr/>
        <w:t xml:space="preserve"> 3.投诉人若对项目的某一分包进行投诉，投诉书应列明具体分包号。</w:t>
      </w:r>
    </w:p>
    <w:p>
      <w:pPr>
        <w:pStyle w:val="null3"/>
        <w:ind w:firstLine="480"/>
      </w:pPr>
      <w:r>
        <w:rPr/>
        <w:t xml:space="preserve"> 4.投诉书应简要列明质疑事项，质疑函、质疑答复等作为附件材料提供。</w:t>
      </w:r>
    </w:p>
    <w:p>
      <w:pPr>
        <w:pStyle w:val="null3"/>
        <w:ind w:firstLine="480"/>
      </w:pPr>
      <w:r>
        <w:rPr/>
        <w:t xml:space="preserve"> 5.投诉书的投诉事项应具体、明确，并有必要的事实依据和法律依据。</w:t>
      </w:r>
    </w:p>
    <w:p>
      <w:pPr>
        <w:pStyle w:val="null3"/>
        <w:ind w:firstLine="480"/>
      </w:pPr>
      <w:r>
        <w:rPr/>
        <w:t xml:space="preserve"> 6.投诉书的投诉请求应与投诉事项相关。</w:t>
      </w:r>
    </w:p>
    <w:p>
      <w:pPr>
        <w:pStyle w:val="null3"/>
        <w:ind w:firstLine="480"/>
      </w:pPr>
      <w:r>
        <w:rPr/>
        <w:t xml:space="preserve"> 7.投诉人为自然人的，投诉书应当由本人签字；投诉人为法人或者其他组织的，投诉书应当由法定代表人、主要负责人，或者其授权代表签字或者盖章，并加盖公章。</w:t>
      </w:r>
    </w:p>
    <w:p>
      <w:pPr>
        <w:pStyle w:val="null3"/>
        <w:ind w:firstLine="480"/>
      </w:pPr>
      <w:r>
        <w:rPr/>
        <w:t xml:space="preserve">  </w:t>
      </w:r>
    </w:p>
    <w:p>
      <w:pPr>
        <w:pStyle w:val="null3"/>
        <w:outlineLvl w:val="2"/>
      </w:pPr>
      <w:r>
        <w:rPr>
          <w:sz w:val="28"/>
          <w:b/>
        </w:rPr>
        <w:t>格式二十四：</w:t>
      </w:r>
    </w:p>
    <w:p>
      <w:pPr>
        <w:pStyle w:val="null3"/>
        <w:ind w:firstLine="480"/>
      </w:pPr>
      <w:r>
        <w:rPr/>
        <w:t>项目实施方案、质量保证及售后服务承诺等内容和格式自拟。</w:t>
      </w:r>
    </w:p>
    <w:p>
      <w:pPr>
        <w:pStyle w:val="null3"/>
        <w:ind w:firstLine="480"/>
      </w:pPr>
      <w:r>
        <w:rPr/>
        <w:t xml:space="preserve">  </w:t>
      </w:r>
    </w:p>
    <w:p>
      <w:pPr>
        <w:pStyle w:val="null3"/>
        <w:outlineLvl w:val="2"/>
      </w:pPr>
      <w:r>
        <w:rPr>
          <w:sz w:val="28"/>
          <w:b/>
        </w:rPr>
        <w:t>格式二十五：</w:t>
      </w:r>
    </w:p>
    <w:p>
      <w:pPr>
        <w:pStyle w:val="null3"/>
        <w:ind w:firstLine="480"/>
      </w:pPr>
      <w:r>
        <w:rPr/>
        <w:t>附件（以下格式文件由供应商根据需要选用）</w:t>
      </w:r>
    </w:p>
    <w:p>
      <w:pPr>
        <w:pStyle w:val="null3"/>
        <w:jc w:val="center"/>
        <w:outlineLvl w:val="3"/>
      </w:pPr>
      <w:r>
        <w:rPr>
          <w:sz w:val="24"/>
          <w:b/>
        </w:rPr>
        <w:t>政府采购投标（响应）担保函</w:t>
      </w:r>
    </w:p>
    <w:p>
      <w:pPr>
        <w:pStyle w:val="null3"/>
        <w:jc w:val="right"/>
      </w:pPr>
      <w:r>
        <w:rPr/>
        <w:t>编号：【】号</w:t>
      </w:r>
    </w:p>
    <w:p>
      <w:pPr>
        <w:pStyle w:val="null3"/>
        <w:ind w:firstLine="480"/>
      </w:pPr>
      <w:r>
        <w:rPr/>
        <w:t>（采购人）：</w:t>
      </w:r>
    </w:p>
    <w:p>
      <w:pPr>
        <w:pStyle w:val="null3"/>
        <w:ind w:firstLine="480"/>
      </w:pPr>
      <w:r>
        <w:rPr/>
        <w:t xml:space="preserve"> 鉴于__________（以下简称“投标（响应）人”）拟参加编号为__________的（以下简称“本项目”）投标（响应），根据本项目采购文件，投标（响应）人参加投标（响应）时应向你方交纳投标（响应）保证金，且可以投标（响应）担保函的形式交纳投标（响应）保证金。应投标（响应）人的申请，我方以保证的方式向你方提供如下投标（响应）保证金担保：</w:t>
      </w:r>
    </w:p>
    <w:p>
      <w:pPr>
        <w:pStyle w:val="null3"/>
        <w:ind w:firstLine="480"/>
      </w:pPr>
      <w:r>
        <w:rPr/>
        <w:t>一、保证责任的情形及保证金额</w:t>
      </w:r>
    </w:p>
    <w:p>
      <w:pPr>
        <w:pStyle w:val="null3"/>
        <w:ind w:firstLine="480"/>
      </w:pPr>
      <w:r>
        <w:rPr/>
        <w:t>（一）在投标（响应）人出现下列情形之一时，我方承担保证责任：</w:t>
      </w:r>
    </w:p>
    <w:p>
      <w:pPr>
        <w:pStyle w:val="null3"/>
        <w:ind w:firstLine="480"/>
      </w:pPr>
      <w:r>
        <w:rPr/>
        <w:t>1.中标（成交）后投标（响应）人无正当理由不与采购人签订《政府采购合同》；</w:t>
      </w:r>
    </w:p>
    <w:p>
      <w:pPr>
        <w:pStyle w:val="null3"/>
        <w:ind w:firstLine="480"/>
      </w:pPr>
      <w:r>
        <w:rPr/>
        <w:t>2.采购文件规定的投标（响应）人应当缴纳保证金的其他情形。</w:t>
      </w:r>
    </w:p>
    <w:p>
      <w:pPr>
        <w:pStyle w:val="null3"/>
        <w:ind w:firstLine="480"/>
      </w:pPr>
      <w:r>
        <w:rPr/>
        <w:t>（二）我方承担保证责任的最高金额为人民币__________元（大写）即本项目的投标（响应）保证金金额。</w:t>
      </w:r>
    </w:p>
    <w:p>
      <w:pPr>
        <w:pStyle w:val="null3"/>
        <w:ind w:firstLine="480"/>
      </w:pPr>
      <w:r>
        <w:rPr/>
        <w:t>二、保证的方式及保证期间</w:t>
      </w:r>
    </w:p>
    <w:p>
      <w:pPr>
        <w:pStyle w:val="null3"/>
        <w:ind w:firstLine="480"/>
      </w:pPr>
      <w:r>
        <w:rPr/>
        <w:t>我方保证的方式为：连带责任保证。</w:t>
      </w:r>
    </w:p>
    <w:p>
      <w:pPr>
        <w:pStyle w:val="null3"/>
        <w:ind w:firstLine="480"/>
      </w:pPr>
      <w:r>
        <w:rPr/>
        <w:t>我方的保证期间为：本保函自__年__月__日起生效，有效期至开标日后的90天内。</w:t>
      </w:r>
    </w:p>
    <w:p>
      <w:pPr>
        <w:pStyle w:val="null3"/>
        <w:ind w:firstLine="480"/>
      </w:pPr>
      <w:r>
        <w:rPr/>
        <w:t>三、承担保证责任的程序</w:t>
      </w:r>
    </w:p>
    <w:p>
      <w:pPr>
        <w:pStyle w:val="null3"/>
        <w:ind w:firstLine="480"/>
      </w:pPr>
      <w:r>
        <w:rPr/>
        <w:t xml:space="preserve"> 1.你方要求我方承担保证责任的，应在本保函保证期间内向我方发出索赔通知。索赔通知应写明要求索赔的金额，支付款项应到达的账号、户名和开户行，并附有证明投标（响应）人发生我方应承担保证责任情形的事实材料。</w:t>
      </w:r>
    </w:p>
    <w:p>
      <w:pPr>
        <w:pStyle w:val="null3"/>
        <w:ind w:firstLine="480"/>
      </w:pPr>
      <w:r>
        <w:rPr/>
        <w:t>2.我方在收到索赔通知及相关证明材料后，在15个工作日内进行审查，符合应承担保证责任情形的，我方按照你方的要求代投标（响应）人向你方支付相应的索赔款项。</w:t>
      </w:r>
    </w:p>
    <w:p>
      <w:pPr>
        <w:pStyle w:val="null3"/>
        <w:ind w:firstLine="480"/>
      </w:pPr>
      <w:r>
        <w:rPr/>
        <w:t>四、保证责任的终止</w:t>
      </w:r>
    </w:p>
    <w:p>
      <w:pPr>
        <w:pStyle w:val="null3"/>
        <w:ind w:firstLine="480"/>
      </w:pPr>
      <w:r>
        <w:rPr/>
        <w:t>1.保证期间届满，你方未向我方书面主张保证责任的，自保证期间届满次日起，我方保证责任自动终止。</w:t>
      </w:r>
    </w:p>
    <w:p>
      <w:pPr>
        <w:pStyle w:val="null3"/>
        <w:ind w:firstLine="480"/>
      </w:pPr>
      <w:r>
        <w:rPr/>
        <w:t>2.我方按照本保函向你方履行了保证责任后，自我方向你方支付款项（支付款项从我方账户划出）之日起，保证责任终止。</w:t>
      </w:r>
    </w:p>
    <w:p>
      <w:pPr>
        <w:pStyle w:val="null3"/>
        <w:ind w:firstLine="480"/>
      </w:pPr>
      <w:r>
        <w:rPr/>
        <w:t>3.按照法律法规的规定或出现我方保证责任终止的其它情形的，我方在本保函项下的保证责任终止。</w:t>
      </w:r>
    </w:p>
    <w:p>
      <w:pPr>
        <w:pStyle w:val="null3"/>
        <w:ind w:firstLine="480"/>
      </w:pPr>
      <w:r>
        <w:rPr/>
        <w:t>五、免责条款</w:t>
      </w:r>
    </w:p>
    <w:p>
      <w:pPr>
        <w:pStyle w:val="null3"/>
        <w:ind w:firstLine="480"/>
      </w:pPr>
      <w:r>
        <w:rPr/>
        <w:t>1.依照法律规定或你方与投标（响应）人的另行约定，全部或者部分免除投标（响应）人投标（响应）保证金义务时，我方亦免除相应的保证责任。</w:t>
      </w:r>
    </w:p>
    <w:p>
      <w:pPr>
        <w:pStyle w:val="null3"/>
        <w:ind w:firstLine="480"/>
      </w:pPr>
      <w:r>
        <w:rPr/>
        <w:t>2.因你方原因致使投标（响应）人发生本保函第一条第（一）款约定情形的，我方不承担保证责任。</w:t>
      </w:r>
    </w:p>
    <w:p>
      <w:pPr>
        <w:pStyle w:val="null3"/>
        <w:ind w:firstLine="480"/>
      </w:pPr>
      <w:r>
        <w:rPr/>
        <w:t>3.因不可抗力造成投标（响应）人发生本保函第一条约定情形的，我方不承担保证责任。</w:t>
      </w:r>
    </w:p>
    <w:p>
      <w:pPr>
        <w:pStyle w:val="null3"/>
        <w:ind w:firstLine="480"/>
      </w:pPr>
      <w:r>
        <w:rPr/>
        <w:t>4.你方或其他有权机关对采购文件进行任何澄清或修改，加重我方保证责任的，我方对加重部分不承担保证责任，但该澄清或修改经我方事先书面同意的除外。</w:t>
      </w:r>
    </w:p>
    <w:p>
      <w:pPr>
        <w:pStyle w:val="null3"/>
        <w:ind w:firstLine="480"/>
      </w:pPr>
      <w:r>
        <w:rPr/>
        <w:t>六、争议的解决</w:t>
      </w:r>
    </w:p>
    <w:p>
      <w:pPr>
        <w:pStyle w:val="null3"/>
        <w:ind w:firstLine="480"/>
      </w:pPr>
      <w:r>
        <w:rPr/>
        <w:t>因本保函发生的纠纷，由你我双方协商解决，协商不成的，通过诉讼程序解决，诉讼管辖地法院为________法院。</w:t>
      </w:r>
    </w:p>
    <w:p>
      <w:pPr>
        <w:pStyle w:val="null3"/>
        <w:ind w:firstLine="480"/>
      </w:pPr>
      <w:r>
        <w:rPr/>
        <w:t>七、保函的生效</w:t>
      </w:r>
    </w:p>
    <w:p>
      <w:pPr>
        <w:pStyle w:val="null3"/>
        <w:ind w:firstLine="480"/>
      </w:pPr>
      <w:r>
        <w:rPr/>
        <w:t>本保函自我方加盖公章之日起生效。</w:t>
      </w:r>
    </w:p>
    <w:p>
      <w:pPr>
        <w:pStyle w:val="null3"/>
        <w:ind w:firstLine="480"/>
      </w:pPr>
      <w:r>
        <w:rPr/>
        <w:t>保证人：_______（公章）_______</w:t>
      </w:r>
    </w:p>
    <w:p>
      <w:pPr>
        <w:pStyle w:val="null3"/>
        <w:jc w:val="right"/>
      </w:pPr>
      <w:r>
        <w:rPr/>
        <w:t>联系人：________________联系电话：_______________</w:t>
      </w:r>
    </w:p>
    <w:p>
      <w:pPr>
        <w:pStyle w:val="null3"/>
        <w:jc w:val="right"/>
      </w:pPr>
      <w:r>
        <w:rPr/>
        <w:t>___年___月___日</w:t>
      </w:r>
    </w:p>
    <w:p>
      <w:pPr>
        <w:pStyle w:val="null3"/>
        <w:ind w:firstLine="480"/>
      </w:pPr>
      <w:r>
        <w:rPr/>
        <w:t xml:space="preserve">  </w:t>
      </w:r>
    </w:p>
    <w:p>
      <w:pPr>
        <w:pStyle w:val="null3"/>
        <w:outlineLvl w:val="2"/>
      </w:pPr>
      <w:r>
        <w:rPr>
          <w:sz w:val="28"/>
          <w:b/>
        </w:rPr>
        <w:t>格式二十六：</w:t>
      </w:r>
    </w:p>
    <w:p>
      <w:pPr>
        <w:pStyle w:val="null3"/>
        <w:jc w:val="center"/>
        <w:outlineLvl w:val="3"/>
      </w:pPr>
      <w:r>
        <w:rPr>
          <w:sz w:val="24"/>
          <w:b/>
        </w:rPr>
        <w:t>政府采购履约担保函</w:t>
      </w:r>
    </w:p>
    <w:p>
      <w:pPr>
        <w:pStyle w:val="null3"/>
      </w:pPr>
      <w:r>
        <w:rPr/>
        <w:t>编号：</w:t>
      </w:r>
    </w:p>
    <w:p>
      <w:pPr>
        <w:pStyle w:val="null3"/>
        <w:ind w:firstLine="480"/>
      </w:pPr>
      <w:r>
        <w:rPr/>
        <w:t>（采购人）：</w:t>
      </w:r>
    </w:p>
    <w:p>
      <w:pPr>
        <w:pStyle w:val="null3"/>
        <w:ind w:firstLine="480"/>
      </w:pPr>
      <w:r>
        <w:rPr/>
        <w:t xml:space="preserve"> 鉴于贵方在__________项目（项目编号为__________以下简称“项目”）的采购中，确定__________为中标人/供应商，拟签订/已签订项目相关采购合同（以下简称“主合同”）。依据主合同的约定，供应商应向贵方交纳履约保证金，且可以履约担保函的形式交纳履约保证金。应供应商的申请，我方以保证的方式向贵方提供如下履约保证金担保：</w:t>
      </w:r>
    </w:p>
    <w:p>
      <w:pPr>
        <w:pStyle w:val="null3"/>
        <w:ind w:firstLine="480"/>
      </w:pPr>
      <w:r>
        <w:rPr/>
        <w:t>一、保证金额</w:t>
      </w:r>
    </w:p>
    <w:p>
      <w:pPr>
        <w:pStyle w:val="null3"/>
        <w:ind w:firstLine="480"/>
      </w:pPr>
      <w:r>
        <w:rPr/>
        <w:t>我方的保证范围是主合同约定的合同价款总额的___%，数额为__________（大写），币种为</w:t>
      </w:r>
      <w:r>
        <w:rPr>
          <w:u w:val="single"/>
        </w:rPr>
        <w:t>人民币</w:t>
      </w:r>
      <w:r>
        <w:rPr/>
        <w:t>（即主合同履约保证金金额）。</w:t>
      </w:r>
    </w:p>
    <w:p>
      <w:pPr>
        <w:pStyle w:val="null3"/>
        <w:ind w:firstLine="480"/>
      </w:pPr>
      <w:r>
        <w:rPr/>
        <w:t>二、我方保证的方式为：连带责任保证。</w:t>
      </w:r>
    </w:p>
    <w:p>
      <w:pPr>
        <w:pStyle w:val="null3"/>
        <w:ind w:firstLine="480"/>
      </w:pPr>
      <w:r>
        <w:rPr/>
        <w:t>三、我方保证的期间为：本保函自开立之日起生效，至 年 月 日止。</w:t>
      </w:r>
    </w:p>
    <w:p>
      <w:pPr>
        <w:pStyle w:val="null3"/>
        <w:ind w:firstLine="480"/>
      </w:pPr>
      <w:r>
        <w:rPr/>
        <w:t>四、在本保函的有效期内，如被保证人违反上述合同或协议约定的义务，我方将在收到你方提交的本保函文件及符合下列全部条件的索赔通知后</w:t>
      </w:r>
      <w:r>
        <w:rPr>
          <w:u w:val="single"/>
        </w:rPr>
        <w:t xml:space="preserve"> 30 </w:t>
      </w:r>
      <w:r>
        <w:rPr/>
        <w:t>个工作日内以上述保证金额为限支付你方索赔金额:</w:t>
      </w:r>
    </w:p>
    <w:p>
      <w:pPr>
        <w:pStyle w:val="null3"/>
        <w:ind w:firstLine="480"/>
      </w:pPr>
      <w:r>
        <w:rPr/>
        <w:t>(一)索赔通知文件必须以书面形式提出，列明索赔金额，并由你方法定代表人(负责人)或授权代理人签字并加盖公章;</w:t>
      </w:r>
    </w:p>
    <w:p>
      <w:pPr>
        <w:pStyle w:val="null3"/>
        <w:ind w:firstLine="480"/>
      </w:pPr>
      <w:r>
        <w:rPr/>
        <w:t>(二)索赔通知文件必须同时附有:</w:t>
      </w:r>
    </w:p>
    <w:p>
      <w:pPr>
        <w:pStyle w:val="null3"/>
        <w:ind w:firstLine="480"/>
      </w:pPr>
      <w:r>
        <w:rPr/>
        <w:t>1.一项书面声明，声明索赔款项并未由被保证人或其代理人直接或间接地支付给你方;</w:t>
      </w:r>
    </w:p>
    <w:p>
      <w:pPr>
        <w:pStyle w:val="null3"/>
        <w:ind w:firstLine="480"/>
      </w:pPr>
      <w:r>
        <w:rPr/>
        <w:t>2.证明被保证人违反上述合同或协议约定的义务以及有责任支付你方索赔金额的证据。</w:t>
      </w:r>
    </w:p>
    <w:p>
      <w:pPr>
        <w:pStyle w:val="null3"/>
        <w:ind w:firstLine="480"/>
      </w:pPr>
      <w:r>
        <w:rPr/>
        <w:t>(三)索赔通知文件必须在本保函有效期内到达以下地址：</w:t>
      </w:r>
    </w:p>
    <w:p>
      <w:pPr>
        <w:pStyle w:val="null3"/>
        <w:ind w:firstLine="480"/>
      </w:pPr>
      <w:r>
        <w:rPr/>
        <w:t>__________________________________________________。</w:t>
      </w:r>
    </w:p>
    <w:p>
      <w:pPr>
        <w:pStyle w:val="null3"/>
        <w:ind w:firstLine="480"/>
      </w:pPr>
      <w:r>
        <w:rPr/>
        <w:t>五、本保函保证金额将随被保证人逐步履行保函项下合同约定或法定的义务以及我方按你方索赔通知文件要求分次支付而相应递减。</w:t>
      </w:r>
    </w:p>
    <w:p>
      <w:pPr>
        <w:pStyle w:val="null3"/>
        <w:ind w:firstLine="480"/>
      </w:pPr>
      <w:r>
        <w:rPr/>
        <w:t>六、本保函项下的权利不得转让，不得设定担保。受益人未经我方书面同意转让本保函或其项下任何权利，我方在本保函项下的义务与责任全部消灭。</w:t>
      </w:r>
    </w:p>
    <w:p>
      <w:pPr>
        <w:pStyle w:val="null3"/>
        <w:ind w:firstLine="480"/>
      </w:pPr>
      <w:r>
        <w:rPr/>
        <w:t>七、本保函项下的合同或基础交易不成立、不生效、无效、被撤销、被解除，本保函无效;被保证人基于保函项下的合同或基础交易或其他原因的抗辩，我方均有权主张。</w:t>
      </w:r>
    </w:p>
    <w:p>
      <w:pPr>
        <w:pStyle w:val="null3"/>
        <w:ind w:firstLine="480"/>
      </w:pPr>
      <w:r>
        <w:rPr/>
        <w:t>八、因本保函发生争议协商解决不成，按以下第</w:t>
      </w:r>
      <w:r>
        <w:rPr>
          <w:u w:val="single"/>
        </w:rPr>
        <w:t xml:space="preserve"> (一)</w:t>
      </w:r>
      <w:r>
        <w:rPr/>
        <w:t>种方式解决:</w:t>
      </w:r>
    </w:p>
    <w:p>
      <w:pPr>
        <w:pStyle w:val="null3"/>
        <w:ind w:firstLine="480"/>
      </w:pPr>
      <w:r>
        <w:rPr/>
        <w:t>(一)向我方所在地的人民法院起诉。</w:t>
      </w:r>
    </w:p>
    <w:p>
      <w:pPr>
        <w:pStyle w:val="null3"/>
        <w:ind w:firstLine="480"/>
      </w:pPr>
      <w:r>
        <w:rPr/>
        <w:t>(二)提交</w:t>
      </w:r>
      <w:r>
        <w:rPr>
          <w:u w:val="single"/>
        </w:rPr>
        <w:t xml:space="preserve"> 此栏空白 </w:t>
      </w:r>
      <w:r>
        <w:rPr/>
        <w:t>仲裁委员会(仲裁地点为此栏空白)按照申请仲裁时该会现行有效的仲裁规则进行仲裁。仲裁裁决是终局的，对双方均有约束力。</w:t>
      </w:r>
    </w:p>
    <w:p>
      <w:pPr>
        <w:pStyle w:val="null3"/>
        <w:ind w:firstLine="480"/>
      </w:pPr>
      <w:r>
        <w:rPr/>
        <w:t>九、本保函适用中华人民共和国法律。</w:t>
      </w:r>
    </w:p>
    <w:p>
      <w:pPr>
        <w:pStyle w:val="null3"/>
        <w:ind w:firstLine="480"/>
      </w:pPr>
      <w:r>
        <w:rPr/>
        <w:t>十、其他条款:</w:t>
      </w:r>
    </w:p>
    <w:p>
      <w:pPr>
        <w:pStyle w:val="null3"/>
        <w:ind w:firstLine="480"/>
      </w:pPr>
      <w:r>
        <w:rPr/>
        <w:t>1.本保函有效期届满或提前终止，本保函自动失效，我方在本保函项下的义务与责任自动全部消灭，此后提出的任何索赔均为无效索赔，我方无义务作出任何赔付。</w:t>
      </w:r>
    </w:p>
    <w:p>
      <w:pPr>
        <w:pStyle w:val="null3"/>
        <w:ind w:firstLine="480"/>
      </w:pPr>
      <w:r>
        <w:rPr/>
        <w:t>2.所有索赔通知必须在我方工作时间内到达本保函规定的地址。</w:t>
      </w:r>
    </w:p>
    <w:p>
      <w:pPr>
        <w:pStyle w:val="null3"/>
        <w:ind w:firstLine="480"/>
      </w:pPr>
      <w:r>
        <w:rPr/>
        <w:t>十一、本保函自我方盖章之日起生效。</w:t>
      </w:r>
    </w:p>
    <w:p>
      <w:pPr>
        <w:pStyle w:val="null3"/>
      </w:pPr>
      <w:r>
        <w:rPr/>
        <w:t>保证人：___________(盖章)</w:t>
      </w:r>
    </w:p>
    <w:p>
      <w:pPr>
        <w:pStyle w:val="null3"/>
      </w:pPr>
      <w:r>
        <w:rPr/>
        <w:t>联系地址：_______________</w:t>
      </w:r>
    </w:p>
    <w:p>
      <w:pPr>
        <w:pStyle w:val="null3"/>
      </w:pPr>
      <w:r>
        <w:rPr/>
        <w:t>联系电话：_______________</w:t>
      </w:r>
    </w:p>
    <w:p>
      <w:pPr>
        <w:pStyle w:val="null3"/>
      </w:pPr>
      <w:r>
        <w:rPr/>
        <w:t>开立日期：___年___月___日</w:t>
      </w:r>
    </w:p>
    <w:p>
      <w:pPr>
        <w:pStyle w:val="null3"/>
        <w:jc w:val="center"/>
        <w:outlineLvl w:val="3"/>
      </w:pPr>
      <w:r>
        <w:rPr>
          <w:sz w:val="24"/>
          <w:b/>
        </w:rPr>
        <w:t>采购合同履约保险凭证</w:t>
      </w:r>
    </w:p>
    <w:p>
      <w:pPr>
        <w:pStyle w:val="null3"/>
      </w:pPr>
      <w:r>
        <w:rPr/>
        <w:t>致被保险人__________：</w:t>
      </w:r>
    </w:p>
    <w:p>
      <w:pPr>
        <w:pStyle w:val="null3"/>
        <w:ind w:firstLine="480"/>
      </w:pPr>
      <w:r>
        <w:rPr/>
        <w:t>鉴于你方____________（招标方/被保险人）接受投保人____________（投标方）参加____________（采购）项目的投标，向投保人签发中标通知书，投保人在我公司投保《采购合同履约保证保险》，我公司接受投保人的请求，在保险责任范围内，愿意就投保人履行与你方订立的采购合同，向你方提供如下保证保险：</w:t>
      </w:r>
    </w:p>
    <w:p>
      <w:pPr>
        <w:pStyle w:val="null3"/>
        <w:ind w:firstLine="480"/>
      </w:pPr>
      <w:r>
        <w:rPr/>
        <w:t>一、我公司对上述采购项目出具的《采购合同履约保证保险》保单号：</w:t>
      </w:r>
    </w:p>
    <w:p>
      <w:pPr>
        <w:pStyle w:val="null3"/>
        <w:ind w:firstLine="480"/>
      </w:pPr>
      <w:r>
        <w:rPr/>
        <w:t>二、上述保单项下我公司的保险金额（最高限额）：人民币 （￥： 元）</w:t>
      </w:r>
    </w:p>
    <w:p>
      <w:pPr>
        <w:pStyle w:val="null3"/>
        <w:ind w:firstLine="480"/>
      </w:pPr>
      <w:r>
        <w:rPr/>
        <w:t>上述全部保险单的保险金额随投保人逐步履行采购合同约定的义务或我公司的赔付而递减。</w:t>
      </w:r>
    </w:p>
    <w:p>
      <w:pPr>
        <w:pStyle w:val="null3"/>
        <w:ind w:firstLine="480"/>
      </w:pPr>
      <w:r>
        <w:rPr/>
        <w:t>三、本保险的保险期间自____年___月___日___时起至___年___月___日___时止，共计___天。</w:t>
      </w:r>
    </w:p>
    <w:p>
      <w:pPr>
        <w:pStyle w:val="null3"/>
        <w:ind w:firstLine="480"/>
      </w:pPr>
      <w:r>
        <w:rPr/>
        <w:t>四、本保险合同仅承担履约保证责任：在本保险期限内，供应商在《采购合同》的履约过程中，因下列情形给你方造成直接损失的，在收到你方提交的符合保险合同约定的全部条件的书面文件，我公司依据保险合同有关约定并与你方达成一致赔偿意见后</w:t>
      </w:r>
      <w:r>
        <w:rPr>
          <w:u w:val="single"/>
        </w:rPr>
        <w:t xml:space="preserve"> 30 </w:t>
      </w:r>
      <w:r>
        <w:rPr/>
        <w:t>个工作日内以上述保险金额为限，支付你方索赔金额。</w:t>
      </w:r>
    </w:p>
    <w:p>
      <w:pPr>
        <w:pStyle w:val="null3"/>
        <w:ind w:firstLine="480"/>
      </w:pPr>
      <w:r>
        <w:rPr/>
        <w:t>（一）投保人未按照采购合同约定的时间、地点交付采购标的；</w:t>
      </w:r>
    </w:p>
    <w:p>
      <w:pPr>
        <w:pStyle w:val="null3"/>
        <w:ind w:firstLine="480"/>
      </w:pPr>
      <w:r>
        <w:rPr/>
        <w:t>（二）投保人供应采购标的的规格、型号、数量、质量等不符合《采购合同》的约定。</w:t>
      </w:r>
    </w:p>
    <w:p>
      <w:pPr>
        <w:pStyle w:val="null3"/>
        <w:ind w:firstLine="480"/>
      </w:pPr>
      <w:r>
        <w:rPr/>
        <w:t>五、索赔文件</w:t>
      </w:r>
    </w:p>
    <w:p>
      <w:pPr>
        <w:pStyle w:val="null3"/>
        <w:ind w:firstLine="480"/>
      </w:pPr>
      <w:r>
        <w:rPr/>
        <w:t>（一）经被保险人有权人签字、加盖被保险人公章的书面索赔声明正本，索赔声明须注明本保险凭证对应的保单号并申明如下事实：</w:t>
      </w:r>
    </w:p>
    <w:p>
      <w:pPr>
        <w:pStyle w:val="null3"/>
        <w:ind w:firstLine="480"/>
      </w:pPr>
      <w:r>
        <w:rPr/>
        <w:t>（1）投保人未履行采购合同相关义务；</w:t>
      </w:r>
    </w:p>
    <w:p>
      <w:pPr>
        <w:pStyle w:val="null3"/>
        <w:ind w:firstLine="480"/>
      </w:pPr>
      <w:r>
        <w:rPr/>
        <w:t>（2）投保人的违约事实。</w:t>
      </w:r>
    </w:p>
    <w:p>
      <w:pPr>
        <w:pStyle w:val="null3"/>
        <w:ind w:firstLine="480"/>
      </w:pPr>
      <w:r>
        <w:rPr/>
        <w:t>（二）保险单正本；</w:t>
      </w:r>
    </w:p>
    <w:p>
      <w:pPr>
        <w:pStyle w:val="null3"/>
        <w:ind w:firstLine="480"/>
      </w:pPr>
      <w:r>
        <w:rPr/>
        <w:t>（三）《采购合同》副本及与采购项目进展、质量、缺陷有关的证明文件（包括《中标通知书》、投标书及其附录、会议纪要、其他合同文件等）；</w:t>
      </w:r>
    </w:p>
    <w:p>
      <w:pPr>
        <w:pStyle w:val="null3"/>
        <w:ind w:firstLine="480"/>
      </w:pPr>
      <w:r>
        <w:rPr/>
        <w:t>（四）保险人要求投保人、被保险人所能提供的与确认保险事故的性质、原因、损失程度等有关的其他证明和资料；</w:t>
      </w:r>
    </w:p>
    <w:p>
      <w:pPr>
        <w:pStyle w:val="null3"/>
        <w:ind w:firstLine="480"/>
      </w:pPr>
      <w:r>
        <w:rPr/>
        <w:t>（五）仲裁机构出具的裁决书或法院出具的裁定书、判决书等生效法律文书（适用于仲裁或诉讼确认损失的方式）；</w:t>
      </w:r>
    </w:p>
    <w:p>
      <w:pPr>
        <w:pStyle w:val="null3"/>
        <w:ind w:firstLine="480"/>
      </w:pPr>
      <w:r>
        <w:rPr/>
        <w:t>六、未经保险人书面同意，本保险凭证与保险合同不得转让、质押，否则保险人在本保险凭证与保险合同项下的保险责任自动解除。</w:t>
      </w:r>
    </w:p>
    <w:p>
      <w:pPr>
        <w:pStyle w:val="null3"/>
        <w:ind w:firstLine="480"/>
      </w:pPr>
      <w:r>
        <w:rPr/>
        <w:t>七、本保证保险发生争议协商解决不成，向保险人所在地有管辖权的人民法院提起诉讼。</w:t>
      </w:r>
    </w:p>
    <w:p>
      <w:pPr>
        <w:pStyle w:val="null3"/>
        <w:ind w:firstLine="480"/>
      </w:pPr>
      <w:r>
        <w:rPr/>
        <w:t>八、本保证保险适用的保险条款为《_______________________》。</w:t>
      </w:r>
    </w:p>
    <w:p>
      <w:pPr>
        <w:pStyle w:val="null3"/>
        <w:ind w:firstLine="480"/>
      </w:pPr>
      <w:r>
        <w:rPr/>
        <w:t>九、保险责任免除及其他本保险凭证未载明事宜以保险合同约定为准。</w:t>
      </w:r>
    </w:p>
    <w:p>
      <w:pPr>
        <w:pStyle w:val="null3"/>
        <w:ind w:firstLine="480"/>
      </w:pPr>
      <w:r>
        <w:rPr/>
        <w:t>十、本保险凭证自保险人加盖保单专用章起生效。</w:t>
      </w:r>
    </w:p>
    <w:p>
      <w:pPr>
        <w:pStyle w:val="null3"/>
      </w:pPr>
      <w:r>
        <w:rPr/>
        <w:t>保证人：__________(盖章)</w:t>
      </w:r>
    </w:p>
    <w:p>
      <w:pPr>
        <w:pStyle w:val="null3"/>
      </w:pPr>
      <w:r>
        <w:rPr/>
        <w:t>地址：__________________</w:t>
      </w:r>
    </w:p>
    <w:p>
      <w:pPr>
        <w:pStyle w:val="null3"/>
      </w:pPr>
      <w:r>
        <w:rPr/>
        <w:t>电话：__________________</w:t>
      </w:r>
    </w:p>
    <w:p>
      <w:pPr>
        <w:pStyle w:val="null3"/>
      </w:pPr>
      <w:r>
        <w:rPr/>
        <w:t>开立日期：____年__月__日</w:t>
      </w:r>
    </w:p>
    <w:p w14:paraId="6CD069BC">
      <w:pPr>
        <w:pStyle w:val="null3"/>
        <w:rPr>
          <w:rFonts w:hint="eastAsia"/>
          <w:lang w:val="en-US" w:eastAsia="zh-Hans"/>
        </w:rPr>
      </w:pPr>
      <w:r>
        <w:rPr>
          <w:rFonts w:hint="eastAsia"/>
          <w:lang w:val="en-US" w:eastAsia="zh-Hans"/>
        </w:rPr>
        <w:t/>
      </w:r>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altName w:val="汉仪中黑KW"/>
    <w:panose1 w:val="02010609060101010101"/>
    <w:charset w:val="86"/>
    <w:family w:val="auto"/>
    <w:pitch w:val="default"/>
    <w:sig w:usb0="800002BF" w:usb1="38CF7CFA" w:usb2="00000016" w:usb3="00000000" w:csb0="00040001" w:csb1="00000000"/>
  </w:font>
  <w:font w:name="Courier New">
    <w:panose1 w:val="02070409020205090404"/>
    <w:charset w:val="01"/>
    <w:family w:val="modern"/>
    <w:pitch w:val="default"/>
    <w:sig w:usb0="E0000AFF" w:usb1="40007843" w:usb2="00000001" w:usb3="00000000" w:csb0="400001BF" w:csb1="DFF7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font>
  <w:font w:name="汉仪书宋二KW">
    <w:panose1 w:val="00020600040101010101"/>
    <w:charset w:val="86"/>
    <w:family w:val="auto"/>
    <w:pitch w:val="default"/>
    <w:sig w:usb0="A00002BF" w:usb1="18EF7CFA" w:usb2="00000016" w:usb3="00000000" w:csb0="00040000" w:csb1="00000000"/>
  </w:font>
  <w:font w:name="Helvetica Neue">
    <w:panose1 w:val="02000503000000020004"/>
    <w:charset w:val="00"/>
    <w:family w:val="auto"/>
    <w:pitch w:val="default"/>
    <w:sig w:usb0="E50002FF" w:usb1="500079DB" w:usb2="00000010" w:usb3="00000000" w:csb0="00000000" w:csb1="00000000"/>
  </w:font>
  <w:font w:name="汉仪中黑KW">
    <w:panose1 w:val="00020600040101010101"/>
    <w:charset w:val="86"/>
    <w:family w:val="auto"/>
    <w:pitch w:val="default"/>
    <w:sig w:usb0="A00002BF" w:usb1="18EF7CFA" w:usb2="00000016" w:usb3="00000000" w:csb0="00040000" w:csb1="00000000"/>
  </w:font>
  <w:font w:name="Kingsoft Sign">
    <w:panose1 w:val="05050102010706020507"/>
    <w:charset w:val="00"/>
    <w:family w:val="auto"/>
    <w:pitch w:val="default"/>
    <w:sig w:usb0="00000000" w:usb1="10000000" w:usb2="00000000" w:usb3="00000000" w:csb0="0000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282"/>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3B52B8D"/>
    <w:rsid w:val="177F50ED"/>
    <w:rsid w:val="23FB55E8"/>
    <w:rsid w:val="53B52B8D"/>
    <w:rsid w:val="5A7E2464"/>
    <w:rsid w:val="77F79321"/>
    <w:rsid w:val="7F7C4879"/>
    <w:rsid w:val="7FFDAA95"/>
    <w:rsid w:val="BBBF7779"/>
    <w:rsid w:val="FAF3070D"/>
    <w:rsid w:val="FBD72E15"/>
    <w:rsid w:val="FBF94665"/>
    <w:rsid w:val="FDF971E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pPr/>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semiHidden/>
    <w:qFormat/>
    <w:uiPriority w:val="0"/>
  </w:style>
  <w:style w:type="table" w:default="1" w:styleId="2">
    <w:name w:val="Normal Table"/>
    <w:semiHidden/>
    <w:qFormat/>
    <w:uiPriority w:val="0"/>
    <w:tblPr>
      <w:tblCellMar>
        <w:top w:w="0" w:type="dxa"/>
        <w:left w:w="108" w:type="dxa"/>
        <w:bottom w:w="0" w:type="dxa"/>
        <w:right w:w="108" w:type="dxa"/>
      </w:tblCellMar>
    </w:tblPr>
  </w:style>
  <w:style w:customStyle="true" w:type="paragraph" w:styleId="null3">
    <w:name w:val="null3"/>
    <w:hidden/>
    <w:rPr>
      <w:rFonts w:hint="eastAsia"/>
      <w:lang w:val="en-US" w:eastAsia="zh-Hans"/>
    </w:rPr>
  </w:style>
</w:styles>
</file>

<file path=word/_rels/document.xml.rels><?xml version="1.0" encoding="UTF-8" standalone="yes"?><Relationships xmlns="http://schemas.openxmlformats.org/package/2006/relationships"><Relationship Id="rId1" Target="styles.xml" Type="http://schemas.openxmlformats.org/officeDocument/2006/relationships/styles"/><Relationship Id="rId2" Target="settings.xml" Type="http://schemas.openxmlformats.org/officeDocument/2006/relationships/settings"/><Relationship Id="rId3" Target="theme/theme1.xml" Type="http://schemas.openxmlformats.org/officeDocument/2006/relationships/theme"/><Relationship Id="rId4" Target="fontTable.xml" Type="http://schemas.openxmlformats.org/officeDocument/2006/relationships/fontTable"/><Relationship Id="rId5" Target="media/image1.png" Type="http://schemas.openxmlformats.org/officeDocument/2006/relationships/image"/><Relationship Id="rId6" Target="media/image2.png" Type="http://schemas.openxmlformats.org/officeDocument/2006/relationships/image"/><Relationship Id="rId7" Target="media/image3.png" Type="http://schemas.openxmlformats.org/officeDocument/2006/relationships/image"/></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Pages>
  <Words>1</Words>
  <Characters>11</Characters>
  <Lines>0</Lines>
  <Paragraphs>0</Paragraphs>
  <TotalTime>2</TotalTime>
  <ScaleCrop>false</ScaleCrop>
  <LinksUpToDate>false</LinksUpToDate>
  <CharactersWithSpaces>11</CharactersWithSpaces>
  <Application>WPS Office_12.1.21861.21861_F1E327BC-269C-435d-A152-05C5408002CA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2022-04-10T11:57:00Z</dcterms:created>
  <dc:creator>广东政府采购智慧云平台</dc:creator>
  <dcterms:modified xsi:type="dcterms:W3CDTF">2025-08-15T17:31:23Z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2052-12.1.21861.21861</vt:lpwstr>
  </property>
  <property fmtid="{D5CDD505-2E9C-101B-9397-08002B2CF9AE}" pid="3" name="ICV">
    <vt:lpwstr>84AAD3F223FF2AC521F59E68BCC7017B_42</vt:lpwstr>
  </property>
</Properties>
</file>