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442000105-2024-00423</w:t>
      </w:r>
    </w:p>
    <w:p>
      <w:pPr>
        <w:pStyle w:val="null3"/>
        <w:jc w:val="center"/>
        <w:outlineLvl w:val="3"/>
      </w:pPr>
      <w:r>
        <w:rPr>
          <w:sz w:val="24"/>
          <w:b/>
        </w:rPr>
        <w:t>采购项目编号：</w:t>
      </w:r>
      <w:r>
        <w:rPr>
          <w:sz w:val="24"/>
          <w:b/>
        </w:rPr>
        <w:t>ZSJD24ZC0086</w:t>
      </w:r>
    </w:p>
    <w:p>
      <w:pPr>
        <w:pStyle w:val="null3"/>
        <w:jc w:val="center"/>
        <w:outlineLvl w:val="3"/>
      </w:pPr>
      <w:r>
        <w:rPr>
          <w:sz w:val="24"/>
          <w:b/>
        </w:rPr>
        <w:t>项目名称：</w:t>
      </w:r>
      <w:r>
        <w:rPr>
          <w:sz w:val="24"/>
          <w:b/>
        </w:rPr>
        <w:t>中山市古镇镇重点清淤项目（第二批）二标段</w:t>
      </w:r>
    </w:p>
    <w:p>
      <w:pPr>
        <w:pStyle w:val="null3"/>
        <w:jc w:val="center"/>
        <w:outlineLvl w:val="3"/>
      </w:pPr>
      <w:r>
        <w:rPr>
          <w:sz w:val="24"/>
          <w:b/>
        </w:rPr>
        <w:t>采购人：</w:t>
      </w:r>
      <w:r>
        <w:rPr>
          <w:sz w:val="24"/>
          <w:b/>
        </w:rPr>
        <w:t>中山市古镇镇水务事务中心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中山市古镇镇水务事务中心</w:t>
      </w:r>
      <w:r>
        <w:rPr/>
        <w:t>的委托，采用</w:t>
      </w:r>
      <w:r>
        <w:rPr/>
        <w:t>公开招标</w:t>
      </w:r>
      <w:r>
        <w:rPr/>
        <w:t>方式组织采购</w:t>
      </w:r>
      <w:r>
        <w:rPr/>
        <w:t>中山市古镇镇重点清淤项目（第二批）二标段</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中山市古镇镇重点清淤项目（第二批）二标段</w:t>
      </w:r>
    </w:p>
    <w:p>
      <w:pPr>
        <w:pStyle w:val="null3"/>
        <w:ind w:firstLine="480"/>
      </w:pPr>
      <w:r>
        <w:rPr/>
        <w:t>采购计划编号：</w:t>
      </w:r>
      <w:r>
        <w:rPr/>
        <w:t>442000105-2024-00423</w:t>
      </w:r>
    </w:p>
    <w:p>
      <w:pPr>
        <w:pStyle w:val="null3"/>
        <w:ind w:firstLine="480"/>
      </w:pPr>
      <w:r>
        <w:rPr/>
        <w:t>采购项目编号：</w:t>
      </w:r>
      <w:r>
        <w:rPr/>
        <w:t>ZSJD24ZC0086</w:t>
      </w:r>
    </w:p>
    <w:p>
      <w:pPr>
        <w:pStyle w:val="null3"/>
        <w:ind w:firstLine="480"/>
      </w:pPr>
      <w:r>
        <w:rPr/>
        <w:t>采购方式：</w:t>
      </w:r>
      <w:r>
        <w:rPr/>
        <w:t>公开招标</w:t>
      </w:r>
    </w:p>
    <w:p>
      <w:pPr>
        <w:pStyle w:val="null3"/>
        <w:ind w:firstLine="480"/>
      </w:pPr>
      <w:r>
        <w:rPr/>
        <w:t>预算金额：</w:t>
      </w:r>
      <w:r>
        <w:rPr/>
        <w:t>5,468,184.74</w:t>
      </w:r>
      <w:r>
        <w:rPr/>
        <w:t>元</w:t>
      </w:r>
    </w:p>
    <w:p>
      <w:pPr>
        <w:pStyle w:val="null3"/>
        <w:outlineLvl w:val="3"/>
      </w:pPr>
      <w:r>
        <w:rPr>
          <w:sz w:val="24"/>
          <w:b/>
        </w:rPr>
        <w:t>2.项目内容及需求情况（采购项目技术规格、参数及要求）</w:t>
      </w:r>
    </w:p>
    <w:p>
      <w:pPr>
        <w:pStyle w:val="null3"/>
      </w:pPr>
      <w:r>
        <w:rPr/>
        <w:t>采购包1(中山市古镇镇重点清淤项目（第二批）二标段):</w:t>
      </w:r>
    </w:p>
    <w:p>
      <w:pPr>
        <w:pStyle w:val="null3"/>
      </w:pPr>
      <w:r>
        <w:rPr/>
        <w:t>采购包预算金额：5,468,184.74元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防洪管理服务</w:t>
            </w:r>
          </w:p>
        </w:tc>
        <w:tc>
          <w:tcPr>
            <w:tcW w:type="dxa" w:w="2136"/>
          </w:tcPr>
          <w:p>
            <w:pPr>
              <w:pStyle w:val="null3"/>
            </w:pPr>
            <w:r>
              <w:rPr/>
              <w:t>河道清淤服务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合同履行期限：合同签订后4个月内完工。因中标人责任延误合同服务期扣罚2000 元/天，罚款总额不超过合同总价的 5%，提前完成不奖励。(罚款总额超5%时，采购人有权终止合同，并由中标人承担一切违约责任)。由于中标人责任造成的拖延服务期，中标人还应赔偿采购人因此所增加的一切费用。因不可抗力或者采购人原因造成的服务期延误，服务期顺延并不作合同价格补偿。</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采购包1（中山市古镇镇重点清淤项目（第二批）二标段）：</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响应文件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采购包1（中山市古镇镇重点清淤项目（第二批）二标段）：</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中山市古镇镇水务事务中心</w:t>
      </w:r>
    </w:p>
    <w:p>
      <w:pPr>
        <w:pStyle w:val="null3"/>
        <w:ind w:firstLine="480"/>
      </w:pPr>
      <w:r>
        <w:rPr/>
        <w:t xml:space="preserve"> 地址：</w:t>
      </w:r>
      <w:r>
        <w:rPr/>
        <w:t>中山市古镇镇西岸南路1号</w:t>
      </w:r>
    </w:p>
    <w:p>
      <w:pPr>
        <w:pStyle w:val="null3"/>
        <w:ind w:firstLine="480"/>
      </w:pPr>
      <w:r>
        <w:rPr/>
        <w:t xml:space="preserve"> 联系方式：</w:t>
      </w:r>
      <w:r>
        <w:rPr/>
        <w:t>0760-89860229</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一、总则</w:t>
      </w:r>
    </w:p>
    <w:p>
      <w:pPr>
        <w:pStyle w:val="null3"/>
        <w:ind w:firstLine="420"/>
        <w:jc w:val="left"/>
      </w:pPr>
      <w:r>
        <w:rPr>
          <w:sz w:val="21"/>
        </w:rPr>
        <w:t>1.项目概况：本项目主要是通过对古镇镇内河涌进行清淤,去除河流水体内源污染、改善水体水质，恢复河涌环境、改善河道淤积现状、增加河道行洪排涝安全性，增加河道水动力、促进河涌生态修复，从而提升全流域河涌水环境质量。具体清淤河涌长度及工程量详见”清淤工程量及特性表”。</w:t>
      </w:r>
    </w:p>
    <w:p>
      <w:pPr>
        <w:pStyle w:val="null3"/>
        <w:ind w:firstLine="420"/>
        <w:jc w:val="left"/>
      </w:pPr>
      <w:r>
        <w:rPr>
          <w:sz w:val="21"/>
        </w:rPr>
        <w:t>2.本项目中介预算价为：</w:t>
      </w:r>
      <w:r>
        <w:rPr>
          <w:sz w:val="21"/>
        </w:rPr>
        <w:t>5943679.06元，按</w:t>
      </w:r>
      <w:r>
        <w:rPr>
          <w:sz w:val="21"/>
        </w:rPr>
        <w:t>中介预算价</w:t>
      </w:r>
      <w:r>
        <w:rPr>
          <w:sz w:val="21"/>
        </w:rPr>
        <w:t>下浮</w:t>
      </w:r>
      <w:r>
        <w:rPr>
          <w:sz w:val="21"/>
        </w:rPr>
        <w:t>8%，即以5468184.74元作为本项目最高限价（预算金额），报价超过最高限价的视为无效报价，作无效投标处理。</w:t>
      </w:r>
    </w:p>
    <w:p>
      <w:pPr>
        <w:pStyle w:val="null3"/>
        <w:ind w:firstLine="420"/>
        <w:jc w:val="left"/>
      </w:pPr>
      <w:r>
        <w:rPr>
          <w:sz w:val="21"/>
        </w:rPr>
        <w:t>3.投标报价应包括：进行本项目所需的人工、材料、备案、验收、保险、税费、售后服务及其它不可预见费等各种费用。如果投标人在中标并签署合同后，在实施工作中出现的任何遗漏，均由中标人免费提供，采购人将不再支付任何费用。</w:t>
      </w:r>
    </w:p>
    <w:p>
      <w:pPr>
        <w:pStyle w:val="null3"/>
        <w:ind w:firstLine="420"/>
        <w:jc w:val="left"/>
      </w:pPr>
      <w:r>
        <w:rPr>
          <w:sz w:val="21"/>
        </w:rPr>
        <w:t>4.本项目由中标人承包及负责招标文件对中标人要求的一切事宜及责任。</w:t>
      </w:r>
    </w:p>
    <w:p>
      <w:pPr>
        <w:pStyle w:val="null3"/>
        <w:ind w:firstLine="420"/>
        <w:jc w:val="left"/>
      </w:pPr>
      <w:r>
        <w:rPr>
          <w:sz w:val="21"/>
        </w:rPr>
        <w:t>5.中标人不得以任何方式转包或分包本项目。</w:t>
      </w:r>
    </w:p>
    <w:p>
      <w:pPr>
        <w:pStyle w:val="null3"/>
        <w:ind w:firstLine="422"/>
        <w:jc w:val="left"/>
      </w:pPr>
      <w:r>
        <w:rPr>
          <w:sz w:val="21"/>
          <w:b/>
        </w:rPr>
        <w:t>二、项目基本要求</w:t>
      </w:r>
    </w:p>
    <w:p>
      <w:pPr>
        <w:pStyle w:val="null3"/>
        <w:ind w:firstLine="420"/>
        <w:jc w:val="left"/>
      </w:pPr>
      <w:r>
        <w:rPr>
          <w:sz w:val="21"/>
        </w:rPr>
        <w:t>1.岸后建筑物等原则上不采取支护措施，清淤厚度控制在1m以内，淤泥开挖边线宜距两岸挡墙一定的安全距离。</w:t>
      </w:r>
    </w:p>
    <w:p>
      <w:pPr>
        <w:pStyle w:val="null3"/>
        <w:ind w:firstLine="420"/>
        <w:jc w:val="left"/>
      </w:pPr>
      <w:r>
        <w:rPr>
          <w:sz w:val="21"/>
        </w:rPr>
        <w:t>2.河涌清淤尽量选择对周边环境影响较小的清淤方式，根据河涌具体条件可多种方式相结合。</w:t>
      </w:r>
    </w:p>
    <w:p>
      <w:pPr>
        <w:pStyle w:val="null3"/>
        <w:ind w:firstLine="420"/>
        <w:jc w:val="left"/>
      </w:pPr>
      <w:r>
        <w:rPr>
          <w:sz w:val="21"/>
        </w:rPr>
        <w:t>3.底泥取样检测、清淤、转输和处理处置全过程中，采取必要措施严防清淤过程中造成二次污染。</w:t>
      </w:r>
    </w:p>
    <w:p>
      <w:pPr>
        <w:pStyle w:val="null3"/>
        <w:ind w:firstLine="420"/>
        <w:jc w:val="left"/>
      </w:pPr>
      <w:r>
        <w:rPr>
          <w:sz w:val="21"/>
        </w:rPr>
        <w:t>4.对局部岸墙老旧、破损及岸后建筑物较近段，项目实施前、项目实施期间及项目实施后加强监测。</w:t>
      </w:r>
    </w:p>
    <w:p>
      <w:pPr>
        <w:pStyle w:val="null3"/>
        <w:ind w:firstLine="420"/>
        <w:jc w:val="left"/>
      </w:pPr>
      <w:r>
        <w:rPr>
          <w:sz w:val="21"/>
        </w:rPr>
        <w:t>5.本项目范围内清淤后产生的淤泥均为Ⅰ~Ⅳ类底泥，不需要进行单独填埋及卫生填埋处置。</w:t>
      </w:r>
    </w:p>
    <w:p>
      <w:pPr>
        <w:pStyle w:val="null3"/>
        <w:ind w:firstLine="420"/>
        <w:jc w:val="left"/>
      </w:pPr>
      <w:r>
        <w:rPr>
          <w:sz w:val="21"/>
        </w:rPr>
        <w:t>6.投标人应将实施项目的临时设施、场地租用、水费、排水费、安全生产措施费、保险费、用工保险费、税、电及其它不可预见费等各种费用应包含在总报价中。投标人需综合考虑所有现场因素。</w:t>
      </w:r>
    </w:p>
    <w:p>
      <w:pPr>
        <w:pStyle w:val="null3"/>
        <w:ind w:firstLine="420"/>
        <w:jc w:val="left"/>
      </w:pPr>
      <w:r>
        <w:rPr>
          <w:sz w:val="21"/>
        </w:rPr>
        <w:t>7.如因非投标人原因的项目设计修改、变更，其增减部分按中标人报价中的项目单价调整结算；如中标人的报价中无该项目单价的，按本采购说明规定的定额作出预算经有关方审核后，再按中介预算价与中标价之间的下浮率下浮后结算。变更修改设计的项目内容投标人不得拒绝承担，若增减的工程量不超过中标工程量10%，工期不作调整。</w:t>
      </w:r>
    </w:p>
    <w:p>
      <w:pPr>
        <w:pStyle w:val="null3"/>
        <w:ind w:firstLine="420"/>
        <w:jc w:val="left"/>
      </w:pPr>
      <w:r>
        <w:rPr>
          <w:sz w:val="21"/>
        </w:rPr>
        <w:t>8.本项目实施场地与公共道路的通道由中标人自行解决（含临时便道的建设、道路隔离设施的拆除与恢复、道路损坏修复等）并承担相关费用。</w:t>
      </w:r>
    </w:p>
    <w:p>
      <w:pPr>
        <w:pStyle w:val="null3"/>
        <w:ind w:firstLine="420"/>
        <w:jc w:val="left"/>
      </w:pPr>
      <w:r>
        <w:rPr>
          <w:sz w:val="21"/>
        </w:rPr>
        <w:t>9.要求设计深度以上的淤泥必须疏挖干净，不得欠挖。设计深度以下的原河床淤泥不得挖走。中标人自行考虑使用合理的机械设备进行施工。</w:t>
      </w:r>
    </w:p>
    <w:p>
      <w:pPr>
        <w:pStyle w:val="null3"/>
        <w:ind w:firstLine="420"/>
        <w:jc w:val="left"/>
      </w:pPr>
      <w:r>
        <w:rPr>
          <w:sz w:val="21"/>
        </w:rPr>
        <w:t>10.本项目开敞河道疏浚开挖边坡按照断面图进行施工,项目实施时可根据实际情况调整,以保证边坡安全以及岸边现状建、构筑物稳定为原则。</w:t>
      </w:r>
    </w:p>
    <w:p>
      <w:pPr>
        <w:pStyle w:val="null3"/>
        <w:ind w:firstLine="420"/>
        <w:jc w:val="left"/>
      </w:pPr>
      <w:r>
        <w:rPr>
          <w:sz w:val="21"/>
        </w:rPr>
        <w:t>11.疏浚开挖起点建议离开现状河涌岸墙、台阶基础及沿线房屋围墙等构建筑物一定距离(详见断面图)，可根据现场实际情况进行调整；若现状岸坡为土质边坡，疏浚开挖起点应根据横断面图及项目实施时河道现状对岸坡进行顺坡开挖。</w:t>
      </w:r>
    </w:p>
    <w:p>
      <w:pPr>
        <w:pStyle w:val="null3"/>
        <w:ind w:firstLine="420"/>
        <w:jc w:val="left"/>
      </w:pPr>
      <w:r>
        <w:rPr>
          <w:sz w:val="21"/>
        </w:rPr>
        <w:t>12.清淤时应按清淤断面图纸中的设计河底线控制。</w:t>
      </w:r>
    </w:p>
    <w:p>
      <w:pPr>
        <w:pStyle w:val="null3"/>
        <w:ind w:firstLine="420"/>
        <w:jc w:val="left"/>
      </w:pPr>
      <w:r>
        <w:rPr>
          <w:sz w:val="21"/>
        </w:rPr>
        <w:t>13.工程起终点、桥涵两端等位置应设有清淤街接段,采用底坡1:10平顺衔接。</w:t>
      </w:r>
    </w:p>
    <w:p>
      <w:pPr>
        <w:pStyle w:val="null3"/>
        <w:ind w:firstLine="420"/>
        <w:jc w:val="left"/>
      </w:pPr>
      <w:r>
        <w:rPr>
          <w:sz w:val="21"/>
        </w:rPr>
        <w:t>14.水上挖机清挖淤泥到小型驳船，水上运输平均转运500米后在开阔区域卸泥。再通过陆上长臂勾机装卸至淤泥车。自卸汽车运输淤泥时,车箱内应铺设彩条布,防止淤泥散落。淤泥陆上运输8公里至堆泥场，并现场机械整平。</w:t>
      </w:r>
    </w:p>
    <w:p>
      <w:pPr>
        <w:pStyle w:val="null3"/>
        <w:ind w:firstLine="420"/>
        <w:jc w:val="left"/>
      </w:pPr>
      <w:r>
        <w:rPr>
          <w:sz w:val="21"/>
        </w:rPr>
        <w:t>15.本项目河涌中所有的水浮莲、杂草、垃圾等在清淤过程中由中标人自行清理运走。本项目清淤淤泥及清理杂树、杂草、垃圾堆放场地由中标人自行考虑，中标人在报价中应充分考虑。淤泥的临时上岸地点及堆放场地中标人需根据《检测报告》（报告编号:LC-DHB240012-001A）（详见公告附件）进行合法堆放处理。有关费用已包含在投标总价中。淤泥上车点的选择应在项目实施前与采购人协商确定。</w:t>
      </w:r>
    </w:p>
    <w:p>
      <w:pPr>
        <w:pStyle w:val="null3"/>
        <w:ind w:firstLine="420"/>
        <w:jc w:val="left"/>
      </w:pPr>
      <w:r>
        <w:rPr>
          <w:sz w:val="21"/>
        </w:rPr>
        <w:t>16.中标结果公告发布后10天内，中标人需根据《检测报告》（报告编号:LC-DHB240012-001A）（详见公告附件）提供堆放场地并经采购人现场确认，如采购人认为中标人所提供的堆放场地不合适，中标人须无条件更换堆放场地，直至采购人确认通过。中标人不按规范非法处理底泥的责任自负。（提供承诺函，格式自拟）</w:t>
      </w:r>
    </w:p>
    <w:p>
      <w:pPr>
        <w:pStyle w:val="null3"/>
        <w:ind w:firstLine="420"/>
        <w:jc w:val="left"/>
      </w:pPr>
      <w:r>
        <w:rPr>
          <w:sz w:val="21"/>
        </w:rPr>
        <w:t>17.中标人不得将疏挖淤泥抛卸到其它河道，如有违反的中标人要承担由此造成的一切责任。</w:t>
      </w:r>
    </w:p>
    <w:p>
      <w:pPr>
        <w:pStyle w:val="null3"/>
        <w:ind w:firstLine="420"/>
        <w:jc w:val="left"/>
      </w:pPr>
      <w:r>
        <w:rPr>
          <w:sz w:val="21"/>
        </w:rPr>
        <w:t>18.若项目实施过程中,中标人对淤泥、杂草等的处理对周边环境造成污染或影响，需负责对其进行清理及恢复。</w:t>
      </w:r>
    </w:p>
    <w:p>
      <w:pPr>
        <w:pStyle w:val="null3"/>
        <w:ind w:firstLine="420"/>
        <w:jc w:val="left"/>
      </w:pPr>
      <w:r>
        <w:rPr>
          <w:sz w:val="21"/>
        </w:rPr>
        <w:t>19.项目实施过程中应注意加强观测，发现异常现象，中标人应立即停止施工，并及时报有关单位进行研究，同时应做好现场安全工作。</w:t>
      </w:r>
    </w:p>
    <w:p>
      <w:pPr>
        <w:pStyle w:val="null3"/>
        <w:ind w:firstLine="420"/>
        <w:jc w:val="left"/>
      </w:pPr>
      <w:r>
        <w:rPr>
          <w:sz w:val="21"/>
        </w:rPr>
        <w:t>20.重视环境保护，机械须符合环保标准，防止造成污染。生产、生活污水需经处理，达标后集中排放。</w:t>
      </w:r>
    </w:p>
    <w:p>
      <w:pPr>
        <w:pStyle w:val="null3"/>
        <w:ind w:firstLine="420"/>
        <w:jc w:val="left"/>
      </w:pPr>
      <w:r>
        <w:rPr>
          <w:sz w:val="21"/>
        </w:rPr>
        <w:t>21.</w:t>
      </w:r>
      <w:r>
        <w:rPr>
          <w:sz w:val="21"/>
        </w:rPr>
        <w:t>采购人不提供中标人的驻点人员的食宿。</w:t>
      </w:r>
    </w:p>
    <w:p>
      <w:pPr>
        <w:pStyle w:val="null3"/>
        <w:ind w:firstLine="420"/>
        <w:jc w:val="left"/>
      </w:pPr>
      <w:r>
        <w:rPr>
          <w:sz w:val="21"/>
        </w:rPr>
        <w:t>22.资料报送</w:t>
      </w:r>
    </w:p>
    <w:p>
      <w:pPr>
        <w:pStyle w:val="null3"/>
        <w:ind w:firstLine="420"/>
        <w:jc w:val="left"/>
      </w:pPr>
      <w:r>
        <w:rPr>
          <w:sz w:val="21"/>
        </w:rPr>
        <w:t>为了更好地督促各项工作实施情况，中标人要严格按照相关的法律法规和管理制度及工作需要，制作目管理状况资料，装订成册。按月、季、年提请采购人监督、指导。提交的项目管理状况资料如下：</w:t>
      </w:r>
    </w:p>
    <w:p>
      <w:pPr>
        <w:pStyle w:val="null3"/>
        <w:ind w:firstLine="420"/>
        <w:jc w:val="left"/>
      </w:pPr>
      <w:r>
        <w:rPr>
          <w:sz w:val="21"/>
        </w:rPr>
        <w:t>（</w:t>
      </w:r>
      <w:r>
        <w:rPr>
          <w:sz w:val="21"/>
        </w:rPr>
        <w:t>1）每日工作安排及实施记录。</w:t>
      </w:r>
    </w:p>
    <w:p>
      <w:pPr>
        <w:pStyle w:val="null3"/>
        <w:ind w:firstLine="420"/>
        <w:jc w:val="left"/>
      </w:pPr>
      <w:r>
        <w:rPr>
          <w:sz w:val="21"/>
        </w:rPr>
        <w:t>（</w:t>
      </w:r>
      <w:r>
        <w:rPr>
          <w:sz w:val="21"/>
        </w:rPr>
        <w:t>2）项目工作实施情况记录。</w:t>
      </w:r>
    </w:p>
    <w:p>
      <w:pPr>
        <w:pStyle w:val="null3"/>
        <w:ind w:firstLine="420"/>
        <w:jc w:val="left"/>
      </w:pPr>
      <w:r>
        <w:rPr>
          <w:sz w:val="21"/>
        </w:rPr>
        <w:t>（</w:t>
      </w:r>
      <w:r>
        <w:rPr>
          <w:sz w:val="21"/>
        </w:rPr>
        <w:t>3）根据《中山市河涌底泥处理处置工作指引(试行)》（详见公告附件）及采购人需要整理其他报送资料。</w:t>
      </w:r>
    </w:p>
    <w:p>
      <w:pPr>
        <w:pStyle w:val="null3"/>
        <w:ind w:firstLine="420"/>
        <w:jc w:val="left"/>
      </w:pPr>
      <w:r>
        <w:rPr>
          <w:sz w:val="21"/>
        </w:rPr>
        <w:t>23.其他未尽事宜应参照相关规范、规程、标准以及与采购人协商后办理。</w:t>
      </w:r>
    </w:p>
    <w:p>
      <w:pPr>
        <w:pStyle w:val="null3"/>
        <w:ind w:firstLine="422"/>
        <w:jc w:val="left"/>
      </w:pPr>
      <w:r>
        <w:rPr>
          <w:sz w:val="21"/>
          <w:b/>
        </w:rPr>
        <w:t>三、安全管理</w:t>
      </w:r>
    </w:p>
    <w:p>
      <w:pPr>
        <w:pStyle w:val="null3"/>
        <w:ind w:firstLine="420"/>
        <w:jc w:val="left"/>
      </w:pPr>
      <w:r>
        <w:rPr>
          <w:sz w:val="21"/>
        </w:rPr>
        <w:t>1.在河涌边坡疏浚时,可根据现场实际情况适当调整开挖坡比。应在项目实施过程中指定专人现场检査挡墙表面是否出现裂缝、倾斜或沉降、渗水等现象，若出现上述情况，中标人应立即停止施工并及时报有关单位进行处理，同时做好现场安全工作。</w:t>
      </w:r>
    </w:p>
    <w:p>
      <w:pPr>
        <w:pStyle w:val="null3"/>
        <w:ind w:firstLine="420"/>
        <w:jc w:val="left"/>
      </w:pPr>
      <w:r>
        <w:rPr>
          <w:sz w:val="21"/>
        </w:rPr>
        <w:t>2.断面图不能全部反映沿岸建筑物,项目实施过程中应在确保两岸建筑物(含挡墙)安全的前提下谨慎操作。</w:t>
      </w:r>
    </w:p>
    <w:p>
      <w:pPr>
        <w:pStyle w:val="null3"/>
        <w:ind w:firstLine="420"/>
        <w:jc w:val="left"/>
      </w:pPr>
      <w:r>
        <w:rPr>
          <w:sz w:val="21"/>
        </w:rPr>
        <w:t>3.遇雨污水管井及穿河管线时应小心开挖，开挖需避开雨污水管井及穿河管线，保证其安全。</w:t>
      </w:r>
    </w:p>
    <w:p>
      <w:pPr>
        <w:pStyle w:val="null3"/>
        <w:ind w:firstLine="420"/>
        <w:jc w:val="left"/>
      </w:pPr>
      <w:r>
        <w:rPr>
          <w:sz w:val="21"/>
        </w:rPr>
        <w:t>4.所有水上作业人员必须穿戴救生衣根据需要配备雨衣、高筒水靴、手套以及要配备救生圈、绳索等救护工具。项目实施时应注意安全。</w:t>
      </w:r>
    </w:p>
    <w:p>
      <w:pPr>
        <w:pStyle w:val="null3"/>
        <w:ind w:firstLine="420"/>
        <w:jc w:val="left"/>
      </w:pPr>
      <w:r>
        <w:rPr>
          <w:sz w:val="21"/>
        </w:rPr>
        <w:t>5.挖掘机将淤泥转移至自卸汽车时,应注意淤泥上车点岸坡、岸墙及构建筑物的稳定，中标人应根据自身项目实施方案采用适当的维护岸坡、岸墙及构建筑物稳定的措施。</w:t>
      </w:r>
    </w:p>
    <w:p>
      <w:pPr>
        <w:pStyle w:val="null3"/>
        <w:ind w:firstLine="420"/>
        <w:jc w:val="left"/>
      </w:pPr>
      <w:r>
        <w:rPr>
          <w:sz w:val="21"/>
        </w:rPr>
        <w:t>6.项目实施时中标人需保护好河道沿线岸墙、雨污水管、井、现状路面及穿河管线等构建筑物的安全及稳定，若项目实施期间对其造成损坏需负责原状恢复。</w:t>
      </w:r>
    </w:p>
    <w:p>
      <w:pPr>
        <w:pStyle w:val="null3"/>
        <w:ind w:firstLine="420"/>
        <w:jc w:val="left"/>
      </w:pPr>
      <w:r>
        <w:rPr>
          <w:sz w:val="21"/>
        </w:rPr>
        <w:t>7.清淤过程中应注意人员及设备安全，采取相应措施，防止机械陷入淤泥中。</w:t>
      </w:r>
    </w:p>
    <w:p>
      <w:pPr>
        <w:pStyle w:val="null3"/>
        <w:ind w:firstLine="420"/>
        <w:jc w:val="left"/>
      </w:pPr>
      <w:r>
        <w:rPr>
          <w:sz w:val="21"/>
        </w:rPr>
        <w:t>8.施工机械进场。项目实施时，要严格遵守交通、环保法律法规等有关规定。</w:t>
      </w:r>
    </w:p>
    <w:p>
      <w:pPr>
        <w:pStyle w:val="null3"/>
        <w:ind w:firstLine="420"/>
        <w:jc w:val="left"/>
      </w:pPr>
      <w:r>
        <w:rPr>
          <w:sz w:val="21"/>
        </w:rPr>
        <w:t>9.施工机械的各种设备需保养良好，消防、救生、堵漏等应急器材齐备，符合有关规定。人员配置合理，特种作业人员持有相关上岗证件。</w:t>
      </w:r>
    </w:p>
    <w:p>
      <w:pPr>
        <w:pStyle w:val="null3"/>
        <w:ind w:firstLine="420"/>
        <w:jc w:val="left"/>
      </w:pPr>
      <w:r>
        <w:rPr>
          <w:sz w:val="21"/>
        </w:rPr>
        <w:t>10.在路上和水上施工区设置醒目标识，并设有专人在项目实施过程中进行巡视，加强观察，严防过往行人车辆、船只进入施工区域，引发危险事故。</w:t>
      </w:r>
    </w:p>
    <w:p>
      <w:pPr>
        <w:pStyle w:val="null3"/>
        <w:ind w:firstLine="420"/>
        <w:jc w:val="left"/>
      </w:pPr>
      <w:r>
        <w:rPr>
          <w:sz w:val="21"/>
        </w:rPr>
        <w:t>11.</w:t>
      </w:r>
      <w:r>
        <w:rPr>
          <w:sz w:val="21"/>
        </w:rPr>
        <w:t>中标人应保证所有工作人员均经过岗前培训，并且成绩及格。机械的操作人员，应在上岗前接受必要的岗前培训。凡需持证上岗的，必须取得相应的上岗证，并应严格按照操作规程作业。</w:t>
      </w:r>
    </w:p>
    <w:p>
      <w:pPr>
        <w:pStyle w:val="null3"/>
        <w:ind w:firstLine="420"/>
        <w:jc w:val="left"/>
      </w:pPr>
      <w:r>
        <w:rPr>
          <w:sz w:val="21"/>
        </w:rPr>
        <w:t>12.</w:t>
      </w:r>
      <w:r>
        <w:rPr>
          <w:sz w:val="21"/>
        </w:rPr>
        <w:t>中标人应对指派的工作人员，进行操作的培训。如出现工伤事故由中标人自行负责。</w:t>
      </w:r>
    </w:p>
    <w:p>
      <w:pPr>
        <w:pStyle w:val="null3"/>
        <w:ind w:firstLine="420"/>
        <w:jc w:val="left"/>
      </w:pPr>
      <w:r>
        <w:rPr>
          <w:sz w:val="21"/>
        </w:rPr>
        <w:t>13.中标人应采取严格科学的安全措施，确保施工安全和第三者的安全，承担由于自身安全措施不力造成事故责任和发生的费用。</w:t>
      </w:r>
    </w:p>
    <w:p>
      <w:pPr>
        <w:pStyle w:val="null3"/>
        <w:ind w:firstLine="420"/>
        <w:jc w:val="left"/>
      </w:pPr>
      <w:r>
        <w:rPr>
          <w:sz w:val="21"/>
        </w:rPr>
        <w:t>14.</w:t>
      </w:r>
      <w:r>
        <w:rPr>
          <w:sz w:val="21"/>
        </w:rPr>
        <w:t>因</w:t>
      </w:r>
      <w:r>
        <w:rPr>
          <w:sz w:val="21"/>
        </w:rPr>
        <w:t>项目实施</w:t>
      </w:r>
      <w:r>
        <w:rPr>
          <w:sz w:val="21"/>
        </w:rPr>
        <w:t>造成采购人或第三方人身、财产的损害，中标人承担一切赔偿责任。</w:t>
      </w:r>
    </w:p>
    <w:p>
      <w:pPr>
        <w:pStyle w:val="null3"/>
        <w:ind w:firstLine="420"/>
        <w:jc w:val="left"/>
      </w:pPr>
      <w:r>
        <w:rPr>
          <w:sz w:val="21"/>
        </w:rPr>
        <w:t>15.作业人员必须穿戴具有反光标志的工作服，并按国家有关规定应在距离作业点的地方设置反光警示牌及其他警示标志。</w:t>
      </w:r>
    </w:p>
    <w:p>
      <w:pPr>
        <w:pStyle w:val="null3"/>
        <w:ind w:firstLine="420"/>
        <w:jc w:val="left"/>
      </w:pPr>
      <w:r>
        <w:rPr>
          <w:sz w:val="21"/>
        </w:rPr>
        <w:t>16.中标人</w:t>
      </w:r>
      <w:r>
        <w:rPr>
          <w:sz w:val="21"/>
        </w:rPr>
        <w:t>应预先制定实施方案和应急预案，采取必要的安全措施。</w:t>
      </w:r>
    </w:p>
    <w:p>
      <w:pPr>
        <w:pStyle w:val="null3"/>
        <w:ind w:firstLine="420"/>
        <w:jc w:val="left"/>
      </w:pPr>
      <w:r>
        <w:rPr>
          <w:sz w:val="21"/>
        </w:rPr>
        <w:t>17.</w:t>
      </w:r>
      <w:r>
        <w:rPr>
          <w:sz w:val="21"/>
        </w:rPr>
        <w:t>中标人在</w:t>
      </w:r>
      <w:r>
        <w:rPr>
          <w:sz w:val="21"/>
        </w:rPr>
        <w:t>项目</w:t>
      </w:r>
      <w:r>
        <w:rPr>
          <w:sz w:val="21"/>
        </w:rPr>
        <w:t>实施期间应严格遵守国家、省、市有关防火、爆破和实施安全以及文明施工、深夜施工、环卫和城管等规定，建立规章制度和防护措施。否则，由此造成的损失或被有关部门处罚，均由中标人负责。</w:t>
      </w:r>
    </w:p>
    <w:p>
      <w:pPr>
        <w:pStyle w:val="null3"/>
        <w:ind w:firstLine="420"/>
        <w:jc w:val="left"/>
      </w:pPr>
      <w:r>
        <w:rPr>
          <w:sz w:val="21"/>
        </w:rPr>
        <w:t>18.</w:t>
      </w:r>
      <w:r>
        <w:rPr>
          <w:sz w:val="21"/>
        </w:rPr>
        <w:t>中标人须妥善安排好工作人员上下班期间的交通安全事项，如若出现因交通事故引起的系列纠纷与赔偿采购人概不负责，由中标人负全部责任。</w:t>
      </w:r>
    </w:p>
    <w:p>
      <w:pPr>
        <w:pStyle w:val="null3"/>
        <w:ind w:firstLine="420"/>
        <w:jc w:val="left"/>
      </w:pPr>
      <w:r>
        <w:rPr>
          <w:sz w:val="21"/>
        </w:rPr>
        <w:t>19.</w:t>
      </w:r>
      <w:r>
        <w:rPr>
          <w:sz w:val="21"/>
        </w:rPr>
        <w:t>中标人在验收前应拆除影响交付使用的临时设施，清理、外运垃圾及泥土，做到工完场清。</w:t>
      </w:r>
    </w:p>
    <w:p>
      <w:pPr>
        <w:pStyle w:val="null3"/>
        <w:ind w:firstLine="422"/>
        <w:jc w:val="left"/>
      </w:pPr>
      <w:r>
        <w:rPr>
          <w:sz w:val="21"/>
          <w:b/>
        </w:rPr>
        <w:t>四、验收</w:t>
      </w:r>
    </w:p>
    <w:p>
      <w:pPr>
        <w:pStyle w:val="null3"/>
        <w:ind w:firstLine="420"/>
        <w:jc w:val="left"/>
      </w:pPr>
      <w:r>
        <w:rPr>
          <w:sz w:val="21"/>
        </w:rPr>
        <w:t>1.中标人完成清淤任务并自检合格后，可向采购人提出验收申请，由采购人组织办理验收手续，实际清淤工程量由第三方进行复测计量。</w:t>
      </w:r>
    </w:p>
    <w:p>
      <w:pPr>
        <w:pStyle w:val="null3"/>
        <w:ind w:firstLine="420"/>
        <w:jc w:val="left"/>
      </w:pPr>
      <w:r>
        <w:rPr>
          <w:sz w:val="21"/>
        </w:rPr>
        <w:t>2.验收内容包括：是否符合设计要求。</w:t>
      </w:r>
    </w:p>
    <w:p>
      <w:pPr>
        <w:pStyle w:val="null3"/>
        <w:ind w:firstLine="420"/>
        <w:jc w:val="left"/>
      </w:pPr>
      <w:r>
        <w:rPr>
          <w:sz w:val="21"/>
        </w:rPr>
        <w:t>3.验收标准按国家、省、中山市有关规定标准执行。</w:t>
      </w:r>
    </w:p>
    <w:p>
      <w:pPr>
        <w:pStyle w:val="null3"/>
        <w:ind w:firstLine="420"/>
        <w:jc w:val="left"/>
      </w:pPr>
      <w:r>
        <w:rPr>
          <w:sz w:val="21"/>
        </w:rPr>
        <w:t>4.验收由采购人、中标人及相关人员依国家有关标准、合同及有关附件要求进行。</w:t>
      </w:r>
    </w:p>
    <w:p>
      <w:pPr>
        <w:pStyle w:val="null3"/>
        <w:ind w:firstLine="420"/>
        <w:jc w:val="left"/>
      </w:pPr>
      <w:r>
        <w:rPr>
          <w:sz w:val="21"/>
        </w:rPr>
        <w:t>5.验收完毕由采购人及中标人在验收报告上签名。</w:t>
      </w:r>
    </w:p>
    <w:p>
      <w:pPr>
        <w:pStyle w:val="null3"/>
        <w:ind w:firstLine="420"/>
        <w:jc w:val="left"/>
      </w:pPr>
      <w:r>
        <w:rPr>
          <w:sz w:val="21"/>
        </w:rPr>
        <w:t>6.中标人应于验收后向采购人提供验收报告和完整的技术资料。</w:t>
      </w:r>
    </w:p>
    <w:p>
      <w:pPr>
        <w:pStyle w:val="null3"/>
        <w:ind w:firstLine="420"/>
        <w:jc w:val="left"/>
      </w:pPr>
      <w:r>
        <w:rPr>
          <w:sz w:val="21"/>
        </w:rPr>
        <w:t>7.因中标人原因项目质量达不到约定的质量标准，中标人承担违约责任，并付结算总价的2%的违约金。</w:t>
      </w:r>
    </w:p>
    <w:p>
      <w:pPr>
        <w:pStyle w:val="null3"/>
        <w:ind w:firstLine="422"/>
        <w:jc w:val="left"/>
      </w:pPr>
      <w:r>
        <w:rPr>
          <w:sz w:val="21"/>
          <w:b/>
        </w:rPr>
        <w:t>五、付款方式</w:t>
      </w:r>
    </w:p>
    <w:p>
      <w:pPr>
        <w:pStyle w:val="null3"/>
        <w:ind w:firstLine="420"/>
        <w:jc w:val="left"/>
      </w:pPr>
      <w:r>
        <w:rPr>
          <w:sz w:val="21"/>
        </w:rPr>
        <w:t>服务费分</w:t>
      </w:r>
      <w:r>
        <w:rPr>
          <w:sz w:val="21"/>
        </w:rPr>
        <w:t>5次进行支付，每完成4条河道的施工任务并且二次测量完成后，中标人可按本次实际完成工程量的80%申请进度款；项目完工验收后累计支付的总金额不超合同价的80%，项目通过市财政局结算审定后支付尾款。</w:t>
      </w:r>
    </w:p>
    <w:p>
      <w:pPr>
        <w:pStyle w:val="null3"/>
        <w:ind w:firstLine="422"/>
        <w:jc w:val="left"/>
      </w:pPr>
      <w:r>
        <w:rPr>
          <w:sz w:val="21"/>
          <w:b/>
        </w:rPr>
        <w:t>六</w:t>
      </w:r>
      <w:r>
        <w:rPr>
          <w:sz w:val="21"/>
          <w:b/>
        </w:rPr>
        <w:t>、工程量清单及图纸</w:t>
      </w:r>
    </w:p>
    <w:p>
      <w:pPr>
        <w:pStyle w:val="null3"/>
        <w:ind w:firstLine="422"/>
        <w:jc w:val="left"/>
      </w:pPr>
      <w:r>
        <w:rPr>
          <w:sz w:val="21"/>
        </w:rPr>
        <w:t>详见</w:t>
      </w:r>
      <w:r>
        <w:rPr>
          <w:sz w:val="21"/>
        </w:rPr>
        <w:t>公告</w:t>
      </w:r>
      <w:r>
        <w:rPr>
          <w:sz w:val="21"/>
        </w:rPr>
        <w:t>附件工程量清单及图纸。</w:t>
      </w:r>
    </w:p>
    <w:p>
      <w:pPr>
        <w:pStyle w:val="null3"/>
      </w:pPr>
      <w:r>
        <w:rPr/>
        <w:t>采购包1（中山市古镇镇重点清淤项目（第二批）二标段）</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合同签订后4个月内完工。因中标人责任延误合同服务期扣罚2000 元/天，罚款总额不超过合同总价的 5%，提前完成不奖励。(罚款总额超5%时，采购人有权终止合同，并由中标人承担一切违约责任)。由于中标人责任造成的拖延服务期，中标人还应赔偿采购人因此所增加的一切费用。因不可抗力或者采购人原因造成的服务期延误，服务期顺延并不作合同价格补偿。</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服务费分5次进行支付，每完成4条河道的施工任务并且二次测量完成后，中标人可按本次实际完成工程量的80%申请进度款；项目完工验收后累计支付的总金额不超合同价的80%，项目通过市财政局结算审定后支付尾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1期：1.中标人完成清淤任务并自检合格后，可向采购人提出验收申请，由采购人组织办理验收手续，实际清淤工程量由第三方进行复测计量。 2.验收内容包括：是否符合设计要求。 3.验收标准按国家、省、中山市有关规定标准执行。 4.验收由采购人、中标人及相关人员依国家有关标准、合同及有关附件要求进行。 5.验收完毕由采购人及中标人在验收报告上签名。 6.中标人应于验收后向采购人提供验收报告和完整的技术资料。 7.因中标人原因项目质量达不到约定的质量标准，中标人承担违约责任，并付结算总价的2%的违约金。</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防洪管理服务</w:t>
            </w:r>
          </w:p>
        </w:tc>
        <w:tc>
          <w:tcPr>
            <w:tcW w:type="dxa" w:w="933"/>
          </w:tcPr>
          <w:p>
            <w:pPr>
              <w:pStyle w:val="null3"/>
              <w:jc w:val="left"/>
            </w:pPr>
            <w:r>
              <w:rPr/>
              <w:t>河道清淤服务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5,468,184.74</w:t>
            </w:r>
          </w:p>
        </w:tc>
        <w:tc>
          <w:tcPr>
            <w:tcW w:type="dxa" w:w="933"/>
          </w:tcPr>
          <w:p>
            <w:pPr>
              <w:pStyle w:val="null3"/>
              <w:jc w:val="right"/>
            </w:pPr>
            <w:r>
              <w:rPr/>
              <w:t>5,468,184.74</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河道清淤服务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中山市古镇镇水务事务中心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采购机构代理服务收费标准：参照《招标代理服务收费管理暂行办法》中“服务类”计费标准下浮50%收取。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古镇镇重点清淤项目（第二批）二标段)：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采购包1（中山市古镇镇重点清淤项目（第二批）二标段）：</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采购包1（中山市古镇镇重点清淤项目（第二批）二标段）：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响应文件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采购包1（中山市古镇镇重点清淤项目（第二批）二标段）：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采购包1(中山市古镇镇重点清淤项目（第二批）二标段):</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技术部分23.0分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项目实施方案及实施方法 (4.0分)</w:t>
            </w:r>
            <w:r>
              <w:rPr/>
              <w:t>，（等次分值选择：</w:t>
            </w:r>
            <w:r>
              <w:rPr/>
              <w:t>0.0;</w:t>
            </w:r>
            <w:r>
              <w:rPr/>
              <w:t>1.0;</w:t>
            </w:r>
            <w:r>
              <w:rPr/>
              <w:t>2.0;</w:t>
            </w:r>
            <w:r>
              <w:rPr/>
              <w:t>3.0;</w:t>
            </w:r>
            <w:r>
              <w:rPr/>
              <w:t>4.0;</w:t>
            </w:r>
            <w:r>
              <w:rPr/>
              <w:t>）</w:t>
            </w:r>
          </w:p>
        </w:tc>
        <w:tc>
          <w:tcPr>
            <w:tcW w:type="dxa" w:w="5076"/>
          </w:tcPr>
          <w:p>
            <w:pPr>
              <w:pStyle w:val="null3"/>
              <w:jc w:val="left"/>
            </w:pPr>
            <w:r>
              <w:rPr/>
              <w:t>优：项目实施方案及实施方法先进，施工部署全面，施工关键技术把握及应用准确，技术措施详细、清晰、合理、针对性强，得4分； 良：项目实施方案及实施方法较先进，施工部署较全面，施工关键技术把握及应用较准确，技术措施较详细、较清晰、较合理、针对性较强，得3分； 中：项目实施方案及实施方法较落后，施工部署一般，施工关键技术把握及应用一般，技术措施一般、基本清晰、合理性一般，针对性一般，得2分； 差：项目实施方案及实施方法落后，施工部署不全面，施工关键技术把握及应用不准确，技术措施不详细、模糊、不合理、没有针对性，得1分。 注：不提供不得分。</w:t>
            </w:r>
          </w:p>
        </w:tc>
      </w:tr>
      <w:tr>
        <w:tc>
          <w:tcPr>
            <w:tcW w:type="dxa" w:w="922"/>
            <w:gridSpan w:val="2"/>
            <w:vMerge/>
          </w:tcPr>
          <w:p/>
        </w:tc>
        <w:tc>
          <w:tcPr>
            <w:tcW w:type="dxa" w:w="2307"/>
          </w:tcPr>
          <w:p>
            <w:pPr>
              <w:pStyle w:val="null3"/>
              <w:jc w:val="left"/>
            </w:pPr>
            <w:r>
              <w:rPr/>
              <w:t>质量管理体系与措施 (5.0分)</w:t>
            </w:r>
            <w:r>
              <w:rPr/>
              <w:t>，（等次分值选择：</w:t>
            </w:r>
            <w:r>
              <w:rPr/>
              <w:t>0.0;</w:t>
            </w:r>
            <w:r>
              <w:rPr/>
              <w:t>1.0;</w:t>
            </w:r>
            <w:r>
              <w:rPr/>
              <w:t>3.0;</w:t>
            </w:r>
            <w:r>
              <w:rPr/>
              <w:t>4.0;</w:t>
            </w:r>
            <w:r>
              <w:rPr/>
              <w:t>5.0;</w:t>
            </w:r>
            <w:r>
              <w:rPr/>
              <w:t>）</w:t>
            </w:r>
          </w:p>
        </w:tc>
        <w:tc>
          <w:tcPr>
            <w:tcW w:type="dxa" w:w="5076"/>
          </w:tcPr>
          <w:p>
            <w:pPr>
              <w:pStyle w:val="null3"/>
              <w:jc w:val="left"/>
            </w:pPr>
            <w:r>
              <w:rPr/>
              <w:t>优：质量管理体系完整，职责分明，规章制度完善，设备及材料采购、过程控制、检验、措施针对性强，可以充分保障工程质量，得5分； 良：质量管理体系较完整，职责较分明，规章制度较完善，设备及材料采购、过程控制、检验、措施针对性较强，较能保障工程质量，得4分； 中：质量管理体系一般，职责基本分明，规章制度基本完善，设备及材料采购、过程控制、检验、措施针对性一般，基本能保障工程质量，得3分； 差：质量管理体系不完整，职责混乱，规章制度不完善，设备及材料采购、过程控制、检验、措施差，没有针对性，不能保障工程质量，得1分。 注：不提供不得分。</w:t>
            </w:r>
          </w:p>
        </w:tc>
      </w:tr>
      <w:tr>
        <w:tc>
          <w:tcPr>
            <w:tcW w:type="dxa" w:w="922"/>
            <w:gridSpan w:val="2"/>
            <w:vMerge/>
          </w:tcPr>
          <w:p/>
        </w:tc>
        <w:tc>
          <w:tcPr>
            <w:tcW w:type="dxa" w:w="2307"/>
          </w:tcPr>
          <w:p>
            <w:pPr>
              <w:pStyle w:val="null3"/>
              <w:jc w:val="left"/>
            </w:pPr>
            <w:r>
              <w:rPr/>
              <w:t>安全管理体系与措施 (5.0分)</w:t>
            </w:r>
            <w:r>
              <w:rPr/>
              <w:t>，（等次分值选择：</w:t>
            </w:r>
            <w:r>
              <w:rPr/>
              <w:t>0.0;</w:t>
            </w:r>
            <w:r>
              <w:rPr/>
              <w:t>1.0;</w:t>
            </w:r>
            <w:r>
              <w:rPr/>
              <w:t>3.0;</w:t>
            </w:r>
            <w:r>
              <w:rPr/>
              <w:t>4.0;</w:t>
            </w:r>
            <w:r>
              <w:rPr/>
              <w:t>5.0;</w:t>
            </w:r>
            <w:r>
              <w:rPr/>
              <w:t>）</w:t>
            </w:r>
          </w:p>
        </w:tc>
        <w:tc>
          <w:tcPr>
            <w:tcW w:type="dxa" w:w="5076"/>
          </w:tcPr>
          <w:p>
            <w:pPr>
              <w:pStyle w:val="null3"/>
              <w:jc w:val="left"/>
            </w:pPr>
            <w:r>
              <w:rPr/>
              <w:t>优：安全管理体系完整，职责分明，安全防护方案完整、合理，防护措施针对性强，可以充分保障施工安全生产，得5分； 良：安全管理体系较完整，职责较分明，安全防护方案较完整、较合理，防护措施针对性较强，较能保障施工安全生产，得4分； 中：安全管理体系基本完整，职责基本分明，安全防护方案基本完整、基本合理，防护措施针对性一般，基本能保障施工安全生产，得3分； 差：安全管理体系不完整，职责混乱，安全防护方案不完整、不合理，防护措施没有针对性，不能保障施工安全生产，得1分。 注：不提供不得分。</w:t>
            </w:r>
          </w:p>
        </w:tc>
      </w:tr>
      <w:tr>
        <w:tc>
          <w:tcPr>
            <w:tcW w:type="dxa" w:w="922"/>
            <w:gridSpan w:val="2"/>
            <w:vMerge/>
          </w:tcPr>
          <w:p/>
        </w:tc>
        <w:tc>
          <w:tcPr>
            <w:tcW w:type="dxa" w:w="2307"/>
          </w:tcPr>
          <w:p>
            <w:pPr>
              <w:pStyle w:val="null3"/>
              <w:jc w:val="left"/>
            </w:pPr>
            <w:r>
              <w:rPr/>
              <w:t>环境保护管理体系与措施 (5.0分)</w:t>
            </w:r>
            <w:r>
              <w:rPr/>
              <w:t>，（等次分值选择：</w:t>
            </w:r>
            <w:r>
              <w:rPr/>
              <w:t>0.0;</w:t>
            </w:r>
            <w:r>
              <w:rPr/>
              <w:t>1.0;</w:t>
            </w:r>
            <w:r>
              <w:rPr/>
              <w:t>3.0;</w:t>
            </w:r>
            <w:r>
              <w:rPr/>
              <w:t>4.0;</w:t>
            </w:r>
            <w:r>
              <w:rPr/>
              <w:t>5.0;</w:t>
            </w:r>
            <w:r>
              <w:rPr/>
              <w:t>）</w:t>
            </w:r>
          </w:p>
        </w:tc>
        <w:tc>
          <w:tcPr>
            <w:tcW w:type="dxa" w:w="5076"/>
          </w:tcPr>
          <w:p>
            <w:pPr>
              <w:pStyle w:val="null3"/>
              <w:jc w:val="left"/>
            </w:pPr>
            <w:r>
              <w:rPr/>
              <w:t>优：环境保护管理体系完整，生产、生活污水等处理及排放符合国家、广东省、中山市环境保护标准，技术及管理措施针对性强，得5分； 良：环境保护管理体系较完整，生产、生活污水等处理及排放符合国家、广东省、中山市环境保护标准，技术及管理措施针对性较强，得4分； 中：环境保护管理体系基本完整，生产、生活污水等处理及排放符合国家、广东省、中山市环境保护标准，技术及管理措施针对性一般，得3分； 差：环境保护管理体系不完整，生产、生活污水等处理及排放符合国家、广东省、中山市环境保护标准，技术及管理措施没有针对性，得1分。 注：生产、生活污水等处理及排放不符合国家、广东省、中山市环境保护标准或不提供不得分。</w:t>
            </w:r>
          </w:p>
        </w:tc>
      </w:tr>
      <w:tr>
        <w:tc>
          <w:tcPr>
            <w:tcW w:type="dxa" w:w="922"/>
            <w:gridSpan w:val="2"/>
            <w:vMerge/>
          </w:tcPr>
          <w:p/>
        </w:tc>
        <w:tc>
          <w:tcPr>
            <w:tcW w:type="dxa" w:w="2307"/>
          </w:tcPr>
          <w:p>
            <w:pPr>
              <w:pStyle w:val="null3"/>
              <w:jc w:val="left"/>
            </w:pPr>
            <w:r>
              <w:rPr/>
              <w:t>应急方案 (4.0分)</w:t>
            </w:r>
            <w:r>
              <w:rPr/>
              <w:t>，（等次分值选择：</w:t>
            </w:r>
            <w:r>
              <w:rPr/>
              <w:t>0.0;</w:t>
            </w:r>
            <w:r>
              <w:rPr/>
              <w:t>1.0;</w:t>
            </w:r>
            <w:r>
              <w:rPr/>
              <w:t>2.0;</w:t>
            </w:r>
            <w:r>
              <w:rPr/>
              <w:t>3.0;</w:t>
            </w:r>
            <w:r>
              <w:rPr/>
              <w:t>4.0;</w:t>
            </w:r>
            <w:r>
              <w:rPr/>
              <w:t>）</w:t>
            </w:r>
          </w:p>
        </w:tc>
        <w:tc>
          <w:tcPr>
            <w:tcW w:type="dxa" w:w="5076"/>
          </w:tcPr>
          <w:p>
            <w:pPr>
              <w:pStyle w:val="null3"/>
              <w:jc w:val="left"/>
            </w:pPr>
            <w:r>
              <w:rPr/>
              <w:t>优：应急情况考虑周全，对应的应急服务方案详细、合理、针对性强，针对不同应急情况投入的应急人员充足，应急响应及时，完成各种应急任务时间短，得4分； 良：应急情况考虑较周全，对应的应急服务方案较详细、较合理、针对性较强，针对不同应急情况投入的应急人员较充足，应急响应较及时，完成各种应急任务时间较短，得3分； 中：应急情况考虑一般，对应的应急服务方案一般，针对性一般，针对不同应急情况投入的应急人员基本齐全，应急响应时间较长，完成各种应急任务时间较长，得2分； 差：有考虑应急情况但不周全，对应的应急服务方案不详细、不合理，没有针对性，针对不同应急情况投入的应急人员少，应急响应时间长，完成各种应急任务时间长，得1分。 注：不提供不得分。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(3.0分)</w:t>
            </w:r>
            <w:r>
              <w:rPr/>
              <w:t>，（等次分值选择：</w:t>
            </w:r>
            <w:r>
              <w:rPr/>
              <w:t>0.0;</w:t>
            </w:r>
            <w:r>
              <w:rPr/>
              <w:t>3.0;</w:t>
            </w:r>
            <w:r>
              <w:rPr/>
              <w:t>）</w:t>
            </w:r>
          </w:p>
        </w:tc>
        <w:tc>
          <w:tcPr>
            <w:tcW w:type="dxa" w:w="5076"/>
          </w:tcPr>
          <w:p>
            <w:pPr>
              <w:pStyle w:val="null3"/>
              <w:jc w:val="left"/>
            </w:pPr>
            <w:r>
              <w:rPr/>
              <w:t>具有有效的水利水电工程施工总承包三级(或以上)资质，得3分。 注：投标文件中提供有效资质证书复印件并加盖投标人公章，不提供或未按要求提供不得分。</w:t>
            </w:r>
          </w:p>
        </w:tc>
      </w:tr>
      <w:tr>
        <w:tc>
          <w:tcPr>
            <w:tcW w:type="dxa" w:w="922"/>
            <w:gridSpan w:val="2"/>
            <w:vMerge/>
          </w:tcPr>
          <w:p/>
        </w:tc>
        <w:tc>
          <w:tcPr>
            <w:tcW w:type="dxa" w:w="2307"/>
          </w:tcPr>
          <w:p>
            <w:pPr>
              <w:pStyle w:val="null3"/>
              <w:jc w:val="left"/>
            </w:pPr>
            <w:r>
              <w:rPr/>
              <w:t>拟投入设备情况 (6.0分)</w:t>
            </w:r>
          </w:p>
        </w:tc>
        <w:tc>
          <w:tcPr>
            <w:tcW w:type="dxa" w:w="5076"/>
          </w:tcPr>
          <w:p>
            <w:pPr>
              <w:pStyle w:val="null3"/>
              <w:jc w:val="left"/>
            </w:pPr>
            <w:r>
              <w:rPr/>
              <w:t>拟投入本项目的设备： 1.小型驳船，每提供1台，得0.4分，本小项满分2分； 2.长臂勾机，每提供1台，得0.4分，本小项满分2分； 3.淤泥自卸车辆，每提供1台，得0.2分，本小项满分2分。 本项满分6分。 注： （1）自有或租赁均可得分； （2）如为自有的，需提供购买发票（购买方需为投标人）原件彩色扫描件及设备图片并加盖投标人公章； （3）如为租赁的，需提供租赁合同及设备图片并加盖投标人公章； （4）若投标人未具备设备的，可以在投标文件中提供相关承诺（承诺函须盖公章，格式自拟，承诺函内容包括但不限于:若我单位中标，合同签订时保证按投标文件的要求配备设备，并提供购买合同或租赁合同和设备图片供采购人核查，否则视为我单位放弃中标资格），视为满足评审要求，否则不得分。承诺函中须列出拟投入设备的类型及数量，否则不得分； （5）未按要求提供或不提供的不得分。</w:t>
            </w:r>
          </w:p>
        </w:tc>
      </w:tr>
      <w:tr>
        <w:tc>
          <w:tcPr>
            <w:tcW w:type="dxa" w:w="922"/>
            <w:gridSpan w:val="2"/>
            <w:vMerge/>
          </w:tcPr>
          <w:p/>
        </w:tc>
        <w:tc>
          <w:tcPr>
            <w:tcW w:type="dxa" w:w="2307"/>
          </w:tcPr>
          <w:p>
            <w:pPr>
              <w:pStyle w:val="null3"/>
              <w:jc w:val="left"/>
            </w:pPr>
            <w:r>
              <w:rPr/>
              <w:t>拟投入人员情况 (8.0分)</w:t>
            </w:r>
          </w:p>
        </w:tc>
        <w:tc>
          <w:tcPr>
            <w:tcW w:type="dxa" w:w="5076"/>
          </w:tcPr>
          <w:p>
            <w:pPr>
              <w:pStyle w:val="null3"/>
              <w:jc w:val="left"/>
            </w:pPr>
            <w:r>
              <w:rPr/>
              <w:t>1.项目负责人： （1）具有水利水电工程一级注册建造师证的，得5分； （2）具有水利水电工程二级注册建造师证的，得4分。 2.项目技术负责人： （1）具有水利水电类高级工程师或以上职称的，得3分； （2）具有水利水电类中级工程师职称的，得2分。 注： 1.提供上述人员证书复印件并加盖投标人公章； 2.按最高条件计分，不重复得分。 3.投标文件中提供投标人为其购买的投标文件递交截止时间为止近半年内任意1个月的社保证明复印件（代缴个税税单或参加社会保险的《投保单》或《社会保险参保人员证明》等证明均可，并加盖公章）； 4.如果投标人成立时间或该人员入职不足1个月，则提供人员入职证明及入职时间至今的社保证明。如果投标人上述人员为其他用工形式，则需提供该人员用工关系的证明资料且人员用工关系证明中须列明该人员的用工期限，用工期限应涵盖本项目服务时间； 5.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 6.未提供或未按要求提供的不得分。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自2021年01月01日以来，承接过同类项目（清淤疏浚类）业绩情况，每提供1个业绩得2.5分，本项最高得10分。 备注： 1.提供合同关键页复印件并加盖公章，时间以合同签订时间为准。 2.未提供或未按要求提供的或不清晰或无法凭所提供材料判断是否得分的，一律作不得分处理。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442000105-2024-00423</w:t>
      </w:r>
    </w:p>
    <w:p>
      <w:pPr>
        <w:pStyle w:val="null3"/>
        <w:jc w:val="center"/>
        <w:outlineLvl w:val="3"/>
      </w:pPr>
      <w:r>
        <w:rPr>
          <w:sz w:val="24"/>
          <w:b/>
        </w:rPr>
        <w:t>采购项目编号：</w:t>
      </w:r>
      <w:r>
        <w:rPr>
          <w:sz w:val="24"/>
          <w:b/>
        </w:rPr>
        <w:t>ZSJD24ZC0086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中山市古镇镇重点清淤项目（第二批）二标段</w:t>
      </w:r>
      <w:r>
        <w:rPr>
          <w:u w:val="single"/>
        </w:rPr>
        <w:t>”</w:t>
      </w:r>
      <w:r>
        <w:rPr/>
        <w:t>项目的招标[采购项目编号为：</w:t>
      </w:r>
      <w:r>
        <w:rPr>
          <w:u w:val="single"/>
        </w:rPr>
        <w:t>ZSJD24ZC0086</w:t>
      </w:r>
      <w:r>
        <w:rPr/>
        <w:t>]，我方愿参与投标。</w:t>
      </w:r>
    </w:p>
    <w:p>
      <w:pPr>
        <w:pStyle w:val="null3"/>
        <w:ind w:firstLine="480"/>
      </w:pPr>
      <w:r>
        <w:rPr/>
        <w:t>我方确认收到贵方提供的</w:t>
      </w:r>
      <w:r>
        <w:rPr>
          <w:u w:val="single"/>
        </w:rPr>
        <w:t>“</w:t>
      </w:r>
      <w:r>
        <w:rPr>
          <w:u w:val="single"/>
        </w:rPr>
        <w:t>中山市古镇镇重点清淤项目（第二批）二标段</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中山市古镇镇重点清淤项目（第二批）二标段</w:t>
      </w:r>
      <w:r>
        <w:rPr/>
        <w:t>”项目采购[采购项目编号为</w:t>
      </w:r>
      <w:r>
        <w:rPr/>
        <w:t>ZSJD24ZC0086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中山市古镇镇水务事务中心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中山市古镇镇重点清淤项目（第二批）二标段</w:t>
      </w:r>
      <w:r>
        <w:rPr/>
        <w:t>招标中获中标（采购项目编号：</w:t>
      </w:r>
      <w:r>
        <w:rPr/>
        <w:t>ZSJD24ZC0086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中山市古镇镇重点清淤项目（第二批）二标段</w:t>
      </w:r>
      <w:r>
        <w:rPr/>
        <w:t>”项目（采购项目编号：</w:t>
      </w:r>
      <w:r>
        <w:rPr/>
        <w:t>ZSJD24ZC0086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