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pPr>
      <w:r>
        <w:br/>
      </w:r>
      <w:r>
        <w:br/>
      </w:r>
      <w:r>
        <w:br/>
      </w:r>
      <w:r>
        <w:br/>
      </w:r>
      <w:r>
        <w:br/>
      </w:r>
    </w:p>
    <w:p>
      <w:pPr>
        <w:pStyle w:val="null3"/>
        <w:jc w:val="center"/>
        <w:outlineLvl w:val="0"/>
      </w:pPr>
      <w:r>
        <w:rPr>
          <w:sz w:val="48"/>
          <w:b/>
        </w:rPr>
        <w:t>广东省政府采购</w:t>
      </w:r>
    </w:p>
    <w:p>
      <w:pPr>
        <w:pStyle w:val="null3"/>
      </w:pPr>
      <w:r>
        <w:rPr/>
        <w:t>　</w:t>
      </w:r>
    </w:p>
    <w:p>
      <w:pPr>
        <w:pStyle w:val="null3"/>
      </w:pPr>
      <w:r>
        <w:rPr/>
        <w:t>　</w:t>
      </w:r>
    </w:p>
    <w:p>
      <w:pPr>
        <w:pStyle w:val="null3"/>
      </w:pPr>
      <w:r>
        <w:rPr/>
        <w:t>　</w:t>
      </w:r>
    </w:p>
    <w:p>
      <w:pPr>
        <w:pStyle w:val="null3"/>
        <w:jc w:val="center"/>
        <w:outlineLvl w:val="0"/>
      </w:pPr>
      <w:r>
        <w:rPr>
          <w:sz w:val="48"/>
          <w:b/>
        </w:rPr>
        <w:t xml:space="preserve"> 竞 争 性 磋 商 文 件</w:t>
      </w:r>
    </w:p>
    <w:p>
      <w:pPr>
        <w:pStyle w:val="null3"/>
      </w:pPr>
      <w:r>
        <w:rPr/>
        <w:t>　</w:t>
      </w:r>
    </w:p>
    <w:p>
      <w:pPr>
        <w:pStyle w:val="null3"/>
      </w:pPr>
      <w:r>
        <w:rPr/>
        <w:t>　</w:t>
      </w:r>
    </w:p>
    <w:p>
      <w:pPr>
        <w:pStyle w:val="null3"/>
      </w:pPr>
      <w:r>
        <w:rPr/>
        <w:t>　</w:t>
      </w:r>
    </w:p>
    <w:p>
      <w:pPr>
        <w:pStyle w:val="null3"/>
      </w:pPr>
      <w:r>
        <w:rPr/>
        <w:t>　</w:t>
      </w:r>
    </w:p>
    <w:p>
      <w:pPr>
        <w:pStyle w:val="null3"/>
      </w:pPr>
      <w:r>
        <w:rPr/>
        <w:t>　</w:t>
      </w:r>
    </w:p>
    <w:p>
      <w:pPr>
        <w:pStyle w:val="null3"/>
      </w:pPr>
      <w:r>
        <w:rPr/>
        <w:t>　</w:t>
      </w:r>
    </w:p>
    <w:p>
      <w:pPr>
        <w:pStyle w:val="null3"/>
      </w:pPr>
      <w:r>
        <w:rPr/>
        <w:t>　</w:t>
      </w:r>
    </w:p>
    <w:p>
      <w:pPr>
        <w:pStyle w:val="null3"/>
        <w:jc w:val="center"/>
        <w:outlineLvl w:val="3"/>
      </w:pPr>
      <w:r>
        <w:rPr>
          <w:sz w:val="24"/>
          <w:b/>
        </w:rPr>
        <w:t>采购计划编号：</w:t>
      </w:r>
      <w:r>
        <w:rPr>
          <w:sz w:val="24"/>
          <w:b/>
        </w:rPr>
        <w:t>442000003-2024-00790</w:t>
      </w:r>
    </w:p>
    <w:p>
      <w:pPr>
        <w:pStyle w:val="null3"/>
        <w:jc w:val="center"/>
        <w:outlineLvl w:val="3"/>
      </w:pPr>
      <w:r>
        <w:rPr>
          <w:sz w:val="24"/>
          <w:b/>
        </w:rPr>
        <w:t>采购项目编号：</w:t>
      </w:r>
      <w:r>
        <w:rPr>
          <w:sz w:val="24"/>
          <w:b/>
        </w:rPr>
        <w:t>ZSJD24ZC0074</w:t>
      </w:r>
    </w:p>
    <w:p>
      <w:pPr>
        <w:pStyle w:val="null3"/>
        <w:jc w:val="center"/>
        <w:outlineLvl w:val="3"/>
      </w:pPr>
      <w:r>
        <w:rPr>
          <w:sz w:val="24"/>
          <w:b/>
        </w:rPr>
        <w:t>项目名称：</w:t>
      </w:r>
      <w:r>
        <w:rPr>
          <w:sz w:val="24"/>
          <w:b/>
        </w:rPr>
        <w:t>民众街道多宝路段和阳光大道等路段违法抓拍系统及交通信号灯后台建设项目</w:t>
      </w:r>
    </w:p>
    <w:p>
      <w:pPr>
        <w:pStyle w:val="null3"/>
        <w:jc w:val="center"/>
        <w:outlineLvl w:val="3"/>
      </w:pPr>
      <w:r>
        <w:rPr>
          <w:sz w:val="24"/>
          <w:b/>
        </w:rPr>
        <w:t>采购人：</w:t>
      </w:r>
      <w:r>
        <w:rPr>
          <w:sz w:val="24"/>
          <w:b/>
        </w:rPr>
        <w:t>中山市公安局民众分局</w:t>
      </w:r>
    </w:p>
    <w:p>
      <w:pPr>
        <w:pStyle w:val="null3"/>
        <w:jc w:val="center"/>
        <w:outlineLvl w:val="3"/>
      </w:pPr>
      <w:r>
        <w:rPr>
          <w:sz w:val="24"/>
          <w:b/>
        </w:rPr>
        <w:t>采购代理机构：</w:t>
      </w:r>
      <w:r>
        <w:rPr>
          <w:sz w:val="24"/>
          <w:b/>
        </w:rPr>
        <w:t>广东省建东工程监理有限公司中山分公司</w:t>
      </w:r>
    </w:p>
    <w:p>
      <w:pPr>
        <w:pStyle w:val="null3"/>
        <w:ind w:firstLine="480"/>
      </w:pPr>
      <w:r>
        <w:rPr/>
        <w:t xml:space="preserve">  </w:t>
      </w:r>
    </w:p>
    <w:p>
      <w:pPr>
        <w:pStyle w:val="null3"/>
        <w:jc w:val="center"/>
        <w:outlineLvl w:val="1"/>
      </w:pPr>
      <w:r>
        <w:rPr>
          <w:sz w:val="36"/>
          <w:b/>
        </w:rPr>
        <w:t>第一章 磋商邀请</w:t>
      </w:r>
    </w:p>
    <w:p>
      <w:pPr>
        <w:pStyle w:val="null3"/>
        <w:ind w:firstLine="480"/>
      </w:pPr>
      <w:r>
        <w:rPr/>
        <w:t>广东省建东工程监理有限公司中山分公司</w:t>
      </w:r>
      <w:r>
        <w:rPr/>
        <w:t>受</w:t>
      </w:r>
      <w:r>
        <w:rPr/>
        <w:t>中山市公安局民众分局</w:t>
      </w:r>
      <w:r>
        <w:rPr/>
        <w:t>的委托，采用</w:t>
      </w:r>
      <w:r>
        <w:rPr/>
        <w:t>竞争性磋商</w:t>
      </w:r>
      <w:r>
        <w:rPr/>
        <w:t>方式组织采购</w:t>
      </w:r>
      <w:r>
        <w:rPr/>
        <w:t>民众街道多宝路段和阳光大道等路段违法抓拍系统及交通信号灯后台建设项目</w:t>
      </w:r>
      <w:r>
        <w:rPr/>
        <w:t>。欢迎符合资格条件的供应商参加。</w:t>
      </w:r>
    </w:p>
    <w:p>
      <w:pPr>
        <w:pStyle w:val="null3"/>
        <w:outlineLvl w:val="2"/>
      </w:pPr>
      <w:r>
        <w:rPr>
          <w:sz w:val="28"/>
          <w:b/>
        </w:rPr>
        <w:t>一.项目概述</w:t>
      </w:r>
    </w:p>
    <w:p>
      <w:pPr>
        <w:pStyle w:val="null3"/>
        <w:outlineLvl w:val="3"/>
      </w:pPr>
      <w:r>
        <w:rPr>
          <w:sz w:val="24"/>
          <w:b/>
        </w:rPr>
        <w:t>1.名称与编号</w:t>
      </w:r>
    </w:p>
    <w:p>
      <w:pPr>
        <w:pStyle w:val="null3"/>
        <w:ind w:firstLine="480"/>
      </w:pPr>
      <w:r>
        <w:rPr/>
        <w:t>采购项目名称：</w:t>
      </w:r>
      <w:r>
        <w:rPr/>
        <w:t>民众街道多宝路段和阳光大道等路段违法抓拍系统及交通信号灯后台建设项目</w:t>
      </w:r>
    </w:p>
    <w:p>
      <w:pPr>
        <w:pStyle w:val="null3"/>
        <w:ind w:firstLine="480"/>
      </w:pPr>
      <w:r>
        <w:rPr/>
        <w:t>采购计划编号：</w:t>
      </w:r>
      <w:r>
        <w:rPr/>
        <w:t>442000003-2024-00790</w:t>
      </w:r>
    </w:p>
    <w:p>
      <w:pPr>
        <w:pStyle w:val="null3"/>
        <w:ind w:firstLine="480"/>
      </w:pPr>
      <w:r>
        <w:rPr/>
        <w:t>采购项目编号：</w:t>
      </w:r>
      <w:r>
        <w:rPr/>
        <w:t>ZSJD24ZC0074</w:t>
      </w:r>
    </w:p>
    <w:p>
      <w:pPr>
        <w:pStyle w:val="null3"/>
        <w:ind w:firstLine="480"/>
      </w:pPr>
      <w:r>
        <w:rPr/>
        <w:t>采购方式：</w:t>
      </w:r>
      <w:r>
        <w:rPr/>
        <w:t>竞争性磋商</w:t>
      </w:r>
    </w:p>
    <w:p>
      <w:pPr>
        <w:pStyle w:val="null3"/>
        <w:ind w:firstLine="480"/>
      </w:pPr>
      <w:r>
        <w:rPr/>
        <w:t>预算金额：</w:t>
      </w:r>
      <w:r>
        <w:rPr/>
        <w:t>2,379,594.88</w:t>
      </w:r>
      <w:r>
        <w:rPr/>
        <w:t>元</w:t>
      </w:r>
    </w:p>
    <w:p>
      <w:pPr>
        <w:pStyle w:val="null3"/>
        <w:outlineLvl w:val="3"/>
      </w:pPr>
      <w:r>
        <w:rPr>
          <w:sz w:val="24"/>
          <w:b/>
        </w:rPr>
        <w:t>2.项目内容及需求情况（采购项目技术规格、参数及要求）</w:t>
      </w:r>
    </w:p>
    <w:p>
      <w:pPr>
        <w:pStyle w:val="null3"/>
      </w:pPr>
      <w:r>
        <w:rPr/>
        <w:t>采购包1(民众街道多宝路段和阳光大道等路段违法抓拍系统及交通信号灯后台建设项目):</w:t>
      </w:r>
    </w:p>
    <w:p>
      <w:pPr>
        <w:pStyle w:val="null3"/>
      </w:pPr>
      <w:r>
        <w:rPr/>
        <w:t>采购包预算金额：2,379,594.88元</w:t>
      </w:r>
    </w:p>
    <w:tbl>
      <w:tblPr>
        <w:tblW w:w="0" w:type="auto"/>
        <w:tblBorders>
          <w:top w:val="single"/>
          <w:left w:val="single"/>
          <w:bottom w:val="single"/>
          <w:right w:val="single"/>
          <w:insideH w:val="single"/>
          <w:insideV w:val="single"/>
        </w:tblBorders>
      </w:tblPr>
      <w:tblGrid>
        <w:gridCol w:w="1187"/>
        <w:gridCol w:w="1424"/>
        <w:gridCol w:w="2136"/>
        <w:gridCol w:w="1187"/>
        <w:gridCol w:w="1187"/>
        <w:gridCol w:w="1187"/>
      </w:tblGrid>
      <w:tr>
        <w:tc>
          <w:tcPr>
            <w:tcW w:type="dxa" w:w="1187"/>
          </w:tcPr>
          <w:p>
            <w:pPr>
              <w:pStyle w:val="null3"/>
            </w:pPr>
            <w:r>
              <w:rPr/>
              <w:t>品目号</w:t>
            </w:r>
          </w:p>
        </w:tc>
        <w:tc>
          <w:tcPr>
            <w:tcW w:type="dxa" w:w="1424"/>
          </w:tcPr>
          <w:p>
            <w:pPr>
              <w:pStyle w:val="null3"/>
            </w:pPr>
            <w:r>
              <w:rPr/>
              <w:t>品目名称</w:t>
            </w:r>
          </w:p>
        </w:tc>
        <w:tc>
          <w:tcPr>
            <w:tcW w:type="dxa" w:w="2136"/>
          </w:tcPr>
          <w:p>
            <w:pPr>
              <w:pStyle w:val="null3"/>
            </w:pPr>
            <w:r>
              <w:rPr/>
              <w:t>采购标的</w:t>
            </w:r>
          </w:p>
        </w:tc>
        <w:tc>
          <w:tcPr>
            <w:tcW w:type="dxa" w:w="1187"/>
          </w:tcPr>
          <w:p>
            <w:pPr>
              <w:pStyle w:val="null3"/>
            </w:pPr>
            <w:r>
              <w:rPr/>
              <w:t>数量（单位）</w:t>
            </w:r>
          </w:p>
        </w:tc>
        <w:tc>
          <w:tcPr>
            <w:tcW w:type="dxa" w:w="1187"/>
          </w:tcPr>
          <w:p>
            <w:pPr>
              <w:pStyle w:val="null3"/>
            </w:pPr>
            <w:r>
              <w:rPr/>
              <w:t>技术规格、参数及要求</w:t>
            </w:r>
          </w:p>
        </w:tc>
        <w:tc>
          <w:tcPr>
            <w:tcW w:type="dxa" w:w="1187"/>
          </w:tcPr>
          <w:p>
            <w:pPr>
              <w:pStyle w:val="null3"/>
            </w:pPr>
            <w:r>
              <w:rPr/>
              <w:t>是否允许进口产品</w:t>
            </w:r>
          </w:p>
        </w:tc>
      </w:tr>
      <w:tr>
        <w:tc>
          <w:tcPr>
            <w:tcW w:type="dxa" w:w="1187"/>
          </w:tcPr>
          <w:p>
            <w:pPr>
              <w:pStyle w:val="null3"/>
            </w:pPr>
            <w:r>
              <w:rPr/>
              <w:t>1-1</w:t>
            </w:r>
          </w:p>
        </w:tc>
        <w:tc>
          <w:tcPr>
            <w:tcW w:type="dxa" w:w="1424"/>
          </w:tcPr>
          <w:p>
            <w:pPr>
              <w:pStyle w:val="null3"/>
            </w:pPr>
            <w:r>
              <w:rPr/>
              <w:t>其他通信设备</w:t>
            </w:r>
          </w:p>
        </w:tc>
        <w:tc>
          <w:tcPr>
            <w:tcW w:type="dxa" w:w="2136"/>
          </w:tcPr>
          <w:p>
            <w:pPr>
              <w:pStyle w:val="null3"/>
            </w:pPr>
            <w:r>
              <w:rPr/>
              <w:t>民众街道多宝路段和阳光大道等路段违法抓拍系统及交通信号灯后台建设项目</w:t>
            </w:r>
          </w:p>
        </w:tc>
        <w:tc>
          <w:tcPr>
            <w:tcW w:type="dxa" w:w="1187"/>
          </w:tcPr>
          <w:p>
            <w:pPr>
              <w:pStyle w:val="null3"/>
            </w:pPr>
            <w:r>
              <w:rPr/>
              <w:t>1(批)</w:t>
            </w:r>
          </w:p>
        </w:tc>
        <w:tc>
          <w:tcPr>
            <w:tcW w:type="dxa" w:w="1187"/>
          </w:tcPr>
          <w:p>
            <w:pPr>
              <w:pStyle w:val="null3"/>
            </w:pPr>
            <w:r>
              <w:rPr/>
              <w:t>详见第二章</w:t>
            </w:r>
          </w:p>
        </w:tc>
        <w:tc>
          <w:tcPr>
            <w:tcW w:type="dxa" w:w="1187"/>
          </w:tcPr>
          <w:p>
            <w:pPr>
              <w:pStyle w:val="null3"/>
            </w:pPr>
            <w:r>
              <w:rPr/>
              <w:t>否</w:t>
            </w:r>
          </w:p>
        </w:tc>
      </w:tr>
      <w:tr>
        <w:tc>
          <w:tcPr>
            <w:tcW w:type="dxa" w:w="1187"/>
          </w:tcPr>
          <w:p>
            <w:pPr>
              <w:pStyle w:val="null3"/>
            </w:pPr>
            <w:r>
              <w:rPr/>
              <w:t>1-2</w:t>
            </w:r>
          </w:p>
        </w:tc>
        <w:tc>
          <w:tcPr>
            <w:tcW w:type="dxa" w:w="1424"/>
          </w:tcPr>
          <w:p>
            <w:pPr>
              <w:pStyle w:val="null3"/>
            </w:pPr>
            <w:r>
              <w:rPr/>
              <w:t>其他通信设备</w:t>
            </w:r>
          </w:p>
        </w:tc>
        <w:tc>
          <w:tcPr>
            <w:tcW w:type="dxa" w:w="2136"/>
          </w:tcPr>
          <w:p>
            <w:pPr>
              <w:pStyle w:val="null3"/>
            </w:pPr>
            <w:r>
              <w:rPr/>
              <w:t>多功能补光灯</w:t>
            </w:r>
          </w:p>
        </w:tc>
        <w:tc>
          <w:tcPr>
            <w:tcW w:type="dxa" w:w="1187"/>
          </w:tcPr>
          <w:p>
            <w:pPr>
              <w:pStyle w:val="null3"/>
            </w:pPr>
            <w:r>
              <w:rPr/>
              <w:t>47(台)</w:t>
            </w:r>
          </w:p>
        </w:tc>
        <w:tc>
          <w:tcPr>
            <w:tcW w:type="dxa" w:w="1187"/>
          </w:tcPr>
          <w:p>
            <w:pPr>
              <w:pStyle w:val="null3"/>
            </w:pPr>
            <w:r>
              <w:rPr/>
              <w:t>详见第二章</w:t>
            </w:r>
          </w:p>
        </w:tc>
        <w:tc>
          <w:tcPr>
            <w:tcW w:type="dxa" w:w="1187"/>
          </w:tcPr>
          <w:p>
            <w:pPr>
              <w:pStyle w:val="null3"/>
            </w:pPr>
            <w:r>
              <w:rPr/>
              <w:t>否</w:t>
            </w:r>
          </w:p>
        </w:tc>
      </w:tr>
    </w:tbl>
    <w:p>
      <w:pPr>
        <w:pStyle w:val="null3"/>
      </w:pPr>
      <w:r>
        <w:rPr/>
        <w:t>本采购包不接受联合体响应</w:t>
      </w:r>
    </w:p>
    <w:p>
      <w:pPr>
        <w:pStyle w:val="null3"/>
      </w:pPr>
      <w:r>
        <w:rPr/>
        <w:t>合同分包：不允许合同分包</w:t>
      </w:r>
    </w:p>
    <w:p>
      <w:pPr>
        <w:pStyle w:val="null3"/>
      </w:pPr>
      <w:r>
        <w:rPr/>
        <w:t>合同履行期限：合同签订之日起100个日历天内完成所有设施的安装部署并通过初步验收，设备建设安装调试完成试运行10个日历天后5个工作日内组织验收。</w:t>
      </w:r>
    </w:p>
    <w:p>
      <w:pPr>
        <w:pStyle w:val="null3"/>
        <w:outlineLvl w:val="2"/>
      </w:pPr>
      <w:r>
        <w:rPr>
          <w:sz w:val="28"/>
          <w:b/>
        </w:rPr>
        <w:t>二.供应商的资格要求</w:t>
      </w:r>
    </w:p>
    <w:p>
      <w:pPr>
        <w:pStyle w:val="null3"/>
        <w:outlineLvl w:val="3"/>
      </w:pPr>
      <w:r>
        <w:rPr>
          <w:sz w:val="24"/>
          <w:b/>
        </w:rPr>
        <w:t>1.供应商应具备《中华人民共和国政府采购法》第二十二条规定的条件，提供下列材料：</w:t>
      </w:r>
    </w:p>
    <w:p>
      <w:pPr>
        <w:pStyle w:val="null3"/>
      </w:pPr>
      <w:r>
        <w:rPr/>
        <w:t>1）具有独立承担民事责任的能力：在中华人民共和国境内注册的法人或其他组织或自然人，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p>
      <w:pPr>
        <w:pStyle w:val="null3"/>
      </w:pPr>
      <w:r>
        <w:rPr/>
        <w:t>2）有依法缴纳税收和社会保障资金的良好记录：供应商提供《政府采购供应商资格信用承诺函》（格式详见公告附件）或提供投标截止日前6个月内任意1个月依法缴纳税收和社会保障资金的相关材料。如依法免税或不需要缴纳社会保障资金的，提供相应证明材料。（若供应商同时提供承诺函和证明材料的，资格审查时以证明材料为准）</w:t>
      </w:r>
    </w:p>
    <w:p>
      <w:pPr>
        <w:pStyle w:val="null3"/>
      </w:pPr>
      <w:r>
        <w:rPr/>
        <w:t>3）具有良好的商业信誉和健全的财务会计制度：供应商提供《政府采购供应商资格信用承诺函》（格式详见公告附件）或提供2023年度财务状况报告或2024年以来任何一个月的财务报表或基本开户行出具的资信证明）。（若供应商同时提供承诺函和证明材料的，资格审查时以证明材料为准）</w:t>
      </w:r>
    </w:p>
    <w:p>
      <w:pPr>
        <w:pStyle w:val="null3"/>
      </w:pPr>
      <w:r>
        <w:rPr/>
        <w:t>4）履行合同所必需的设备和专业技术能力：提供承诺函（格式自拟，承诺内容包括但不限于：“我方具有履行本项目合同所必需的设备及专业技术能力。”）或提供《设备和专业技术能力情况表》（格式自拟）。</w:t>
      </w:r>
    </w:p>
    <w:p>
      <w:pPr>
        <w:pStyle w:val="null3"/>
      </w:pPr>
      <w:r>
        <w:rPr/>
        <w:t>5）参加采购活动前3年内，在经营活动中没有重大违法记录：供应商提供《政府采购供应商资格信用承诺函》（格式详见公告附件）或参照响应承诺函相关承诺格式内容。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pStyle w:val="null3"/>
        <w:outlineLvl w:val="3"/>
      </w:pPr>
      <w:r>
        <w:rPr>
          <w:sz w:val="24"/>
          <w:b/>
        </w:rPr>
        <w:t>2.落实政府采购政策需满足的资格要求：</w:t>
      </w:r>
    </w:p>
    <w:p>
      <w:pPr>
        <w:pStyle w:val="null3"/>
        <w:jc w:val="left"/>
      </w:pPr>
      <w:r>
        <w:rPr/>
        <w:t>采购包1（民众街道多宝路段和阳光大道等路段违法抓拍系统及交通信号灯后台建设项目）：</w:t>
      </w:r>
      <w:r>
        <w:rPr/>
        <w:t>本项目不属于专门面向中小企业采购的项目。</w:t>
      </w:r>
    </w:p>
    <w:p>
      <w:pPr>
        <w:pStyle w:val="null3"/>
        <w:outlineLvl w:val="3"/>
      </w:pPr>
      <w:r>
        <w:rPr>
          <w:sz w:val="24"/>
          <w:b/>
        </w:rPr>
        <w:t>3.本项目特定的资格要求：</w:t>
      </w:r>
    </w:p>
    <w:p>
      <w:pPr>
        <w:pStyle w:val="null3"/>
      </w:pPr>
      <w:r>
        <w:rPr/>
        <w:t>采购包1（民众街道多宝路段和阳光大道等路段违法抓拍系统及交通信号灯后台建设项目）：</w:t>
      </w:r>
    </w:p>
    <w:p>
      <w:pPr>
        <w:pStyle w:val="null3"/>
      </w:pPr>
      <w:r>
        <w:rPr/>
        <w:t>1)采购人或采购代理机构将通过“信用中国”网站（www.creditchina.gov.cn）及中国政府采购网 （www.ccgp.gov.cn）查询供应商信用记录（查询截止时点：递交响应文件当天），将查询的信用记录提供给评审现场，并做好信用信息查询记录和证据留存，信用信息查询记录及相关证据应当与其他采购文件一并保存。对于被列入“信用中国”网站“失信被执行人或税收违法黑名单”记录名单以及处于中国政府采购网“政府采购严重违法失信行为信息记录”中的禁止参加政府采购活动期间的供应商，将拒绝其参与政府采购活动（不能通过资格性审查）。如相关失信记录已失效，供应商需提供相关证明资料。</w:t>
      </w:r>
    </w:p>
    <w:p>
      <w:pPr>
        <w:pStyle w:val="null3"/>
      </w:pPr>
      <w:r>
        <w:rPr/>
        <w:t>2)为采购项目提供整体设计、规范编制或者项目管理、监理、检测等服务的供应商，不得再参加该采购项目同一合同项下的其他采购活动。单位负责人为同一人或者存在直接控股、管理关系的不同供应商，不得参加同一合同项下的政府采购活动（参照响应承诺函相关承诺格式内容。）</w:t>
      </w:r>
    </w:p>
    <w:p>
      <w:pPr>
        <w:pStyle w:val="null3"/>
      </w:pPr>
      <w:r>
        <w:rPr/>
        <w:t>3)本项目不接受联合体投标。</w:t>
      </w:r>
    </w:p>
    <w:p>
      <w:pPr>
        <w:pStyle w:val="null3"/>
        <w:outlineLvl w:val="2"/>
      </w:pPr>
      <w:r>
        <w:rPr>
          <w:sz w:val="28"/>
          <w:b/>
        </w:rPr>
        <w:t>三.获取磋商文件</w:t>
      </w:r>
    </w:p>
    <w:p>
      <w:pPr>
        <w:pStyle w:val="null3"/>
        <w:ind w:firstLine="480"/>
      </w:pPr>
      <w:r>
        <w:rPr/>
        <w:t>时间：详见磋商公告及其变更公告（如有）</w:t>
      </w:r>
    </w:p>
    <w:p>
      <w:pPr>
        <w:pStyle w:val="null3"/>
        <w:ind w:firstLine="480"/>
      </w:pPr>
      <w:r>
        <w:rPr/>
        <w:t>地点：详见磋商公告及其变更公告（如有）</w:t>
      </w:r>
    </w:p>
    <w:p>
      <w:pPr>
        <w:pStyle w:val="null3"/>
        <w:ind w:firstLine="480"/>
      </w:pPr>
      <w:r>
        <w:rPr/>
        <w:t xml:space="preserve"> 获取方式：在线获取。供应商应从广东省政府采购网（https://gdgpo.czt.gd.gov.cn/）上广东政府采购智慧云平台（以下简称“云平台”）的政府采购供应商入口进行免费注册后，登录进入项目采购系统完成项目响应登记并在线获取磋商文件（未按上述方式获取磋商文件的供应商，其响应资格将被视为无效）。</w:t>
      </w:r>
    </w:p>
    <w:p>
      <w:pPr>
        <w:pStyle w:val="null3"/>
        <w:ind w:firstLine="480"/>
      </w:pPr>
      <w:r>
        <w:rPr/>
        <w:t>售价：免费</w:t>
      </w:r>
    </w:p>
    <w:p>
      <w:pPr>
        <w:pStyle w:val="null3"/>
        <w:outlineLvl w:val="2"/>
      </w:pPr>
      <w:r>
        <w:rPr>
          <w:sz w:val="28"/>
          <w:b/>
        </w:rPr>
        <w:t>四.提交响应文件截止时间、开启时间和地点：</w:t>
      </w:r>
    </w:p>
    <w:p>
      <w:pPr>
        <w:pStyle w:val="null3"/>
        <w:ind w:firstLine="480"/>
      </w:pPr>
      <w:r>
        <w:rPr/>
        <w:t>提交响应文件截止时间和开启时间：详见磋商公告及其变更公告（如有）（自响应文件开始发出之日起至响应供应商提交响应文件截止之日止，不得少于10个日历日）</w:t>
      </w:r>
    </w:p>
    <w:p>
      <w:pPr>
        <w:pStyle w:val="null3"/>
        <w:ind w:firstLine="480"/>
      </w:pPr>
      <w:r>
        <w:rPr/>
        <w:t>地点：详见磋商公告及其变更公告（如有）</w:t>
      </w:r>
    </w:p>
    <w:p>
      <w:pPr>
        <w:pStyle w:val="null3"/>
        <w:outlineLvl w:val="2"/>
      </w:pPr>
      <w:r>
        <w:rPr>
          <w:sz w:val="28"/>
          <w:b/>
        </w:rPr>
        <w:t>五.公告期限、发布公告的媒介：</w:t>
      </w:r>
    </w:p>
    <w:p>
      <w:pPr>
        <w:pStyle w:val="null3"/>
        <w:ind w:firstLine="480"/>
      </w:pPr>
      <w:r>
        <w:rPr/>
        <w:t>1、公告期限：自本公告发布之日起不得少于3个工作日。</w:t>
      </w:r>
    </w:p>
    <w:p>
      <w:pPr>
        <w:pStyle w:val="null3"/>
        <w:ind w:firstLine="480"/>
      </w:pPr>
      <w:r>
        <w:rPr/>
        <w:t>2、发布公告的媒介：中国政府采购网(www.ccgp.gov.cn)，广东省政府采购网(https://gdgpo.czt.gd.gov.cn/)；</w:t>
      </w:r>
      <w:r>
        <w:rPr/>
        <w:t>广东省公共资源交易平台（https://ygp.gdzwfw.gov.cn/#/442000/index），采购代理机构网站（http://www.gdjdjl.com/）</w:t>
      </w:r>
    </w:p>
    <w:p>
      <w:pPr>
        <w:pStyle w:val="null3"/>
        <w:outlineLvl w:val="2"/>
      </w:pPr>
      <w:r>
        <w:rPr>
          <w:sz w:val="28"/>
          <w:b/>
        </w:rPr>
        <w:t>六.本项目联系方式：</w:t>
      </w:r>
    </w:p>
    <w:p>
      <w:pPr>
        <w:pStyle w:val="null3"/>
        <w:outlineLvl w:val="3"/>
      </w:pPr>
      <w:r>
        <w:rPr>
          <w:sz w:val="24"/>
          <w:b/>
        </w:rPr>
        <w:t>1.采购人信息</w:t>
      </w:r>
    </w:p>
    <w:p>
      <w:pPr>
        <w:pStyle w:val="null3"/>
        <w:ind w:firstLine="480"/>
      </w:pPr>
      <w:r>
        <w:rPr/>
        <w:t>名称：</w:t>
      </w:r>
      <w:r>
        <w:rPr/>
        <w:t>中山市公安局民众分局</w:t>
      </w:r>
    </w:p>
    <w:p>
      <w:pPr>
        <w:pStyle w:val="null3"/>
        <w:ind w:firstLine="480"/>
      </w:pPr>
      <w:r>
        <w:rPr/>
        <w:t>地址：</w:t>
      </w:r>
      <w:r>
        <w:rPr/>
        <w:t>中山市民众街道民安路3号</w:t>
      </w:r>
    </w:p>
    <w:p>
      <w:pPr>
        <w:pStyle w:val="null3"/>
        <w:ind w:firstLine="480"/>
      </w:pPr>
      <w:r>
        <w:rPr/>
        <w:t>联系方式：</w:t>
      </w:r>
      <w:r>
        <w:rPr/>
        <w:t>0760-23185109</w:t>
      </w:r>
    </w:p>
    <w:p>
      <w:pPr>
        <w:pStyle w:val="null3"/>
        <w:outlineLvl w:val="3"/>
      </w:pPr>
      <w:r>
        <w:rPr>
          <w:sz w:val="24"/>
          <w:b/>
        </w:rPr>
        <w:t>2.采购代理机构信息</w:t>
      </w:r>
    </w:p>
    <w:p>
      <w:pPr>
        <w:pStyle w:val="null3"/>
        <w:ind w:firstLine="480"/>
      </w:pPr>
      <w:r>
        <w:rPr/>
        <w:t>名称：</w:t>
      </w:r>
      <w:r>
        <w:rPr/>
        <w:t>广东省建东工程监理有限公司中山分公司</w:t>
      </w:r>
    </w:p>
    <w:p>
      <w:pPr>
        <w:pStyle w:val="null3"/>
        <w:ind w:firstLine="480"/>
      </w:pPr>
      <w:r>
        <w:rPr/>
        <w:t xml:space="preserve"> 地址：</w:t>
      </w:r>
      <w:r>
        <w:rPr/>
        <w:t>中山市东区小鳌溪小陂路五巷54号二层B2卡</w:t>
      </w:r>
    </w:p>
    <w:p>
      <w:pPr>
        <w:pStyle w:val="null3"/>
        <w:ind w:firstLine="480"/>
      </w:pPr>
      <w:r>
        <w:rPr/>
        <w:t xml:space="preserve"> 联系方式：</w:t>
      </w:r>
      <w:r>
        <w:rPr/>
        <w:t>0760-88399895</w:t>
      </w:r>
    </w:p>
    <w:p>
      <w:pPr>
        <w:pStyle w:val="null3"/>
        <w:outlineLvl w:val="3"/>
      </w:pPr>
      <w:r>
        <w:rPr>
          <w:sz w:val="24"/>
          <w:b/>
        </w:rPr>
        <w:t xml:space="preserve"> 3.项目联系方式</w:t>
      </w:r>
    </w:p>
    <w:p>
      <w:pPr>
        <w:pStyle w:val="null3"/>
        <w:ind w:firstLine="480"/>
      </w:pPr>
      <w:r>
        <w:rPr/>
        <w:t xml:space="preserve"> 项目联系人：</w:t>
      </w:r>
      <w:r>
        <w:rPr/>
        <w:t>罗小姐</w:t>
      </w:r>
    </w:p>
    <w:p>
      <w:pPr>
        <w:pStyle w:val="null3"/>
        <w:ind w:firstLine="480"/>
      </w:pPr>
      <w:r>
        <w:rPr/>
        <w:t xml:space="preserve"> 电话：</w:t>
      </w:r>
      <w:r>
        <w:rPr/>
        <w:t>0760-88399895</w:t>
      </w:r>
    </w:p>
    <w:p>
      <w:pPr>
        <w:pStyle w:val="null3"/>
        <w:outlineLvl w:val="3"/>
      </w:pPr>
      <w:r>
        <w:rPr>
          <w:sz w:val="24"/>
          <w:b/>
        </w:rPr>
        <w:t xml:space="preserve"> 4.技术支持联系方式</w:t>
      </w:r>
    </w:p>
    <w:p>
      <w:pPr>
        <w:pStyle w:val="null3"/>
        <w:ind w:firstLine="480"/>
      </w:pPr>
      <w:r>
        <w:rPr/>
        <w:t>云平台联系方式：020-88696588</w:t>
      </w:r>
    </w:p>
    <w:p>
      <w:pPr>
        <w:pStyle w:val="null3"/>
        <w:ind w:firstLine="480"/>
      </w:pPr>
      <w:r>
        <w:rPr/>
        <w:t>开标评标服务专线：020-88696599</w:t>
      </w:r>
    </w:p>
    <w:p>
      <w:pPr>
        <w:pStyle w:val="null3"/>
      </w:pPr>
      <w:r>
        <w:rPr/>
        <w:t xml:space="preserve"> 采购代理机构：</w:t>
      </w:r>
      <w:r>
        <w:rPr/>
        <w:t>广东省建东工程监理有限公司中山分公司</w:t>
      </w:r>
    </w:p>
    <w:p>
      <w:pPr>
        <w:pStyle w:val="null3"/>
        <w:ind w:firstLine="480"/>
      </w:pPr>
      <w:r>
        <w:rPr/>
        <w:t xml:space="preserve">  </w:t>
      </w:r>
    </w:p>
    <w:p>
      <w:pPr>
        <w:pStyle w:val="null3"/>
        <w:jc w:val="center"/>
        <w:outlineLvl w:val="1"/>
      </w:pPr>
      <w:r>
        <w:rPr>
          <w:sz w:val="36"/>
          <w:b/>
        </w:rPr>
        <w:t>第二章 采购需求</w:t>
      </w:r>
    </w:p>
    <w:p>
      <w:pPr>
        <w:pStyle w:val="null3"/>
        <w:outlineLvl w:val="2"/>
      </w:pPr>
      <w:r>
        <w:rPr>
          <w:sz w:val="28"/>
          <w:b/>
        </w:rPr>
        <w:t>一、项目概况：</w:t>
      </w:r>
    </w:p>
    <w:p>
      <w:pPr>
        <w:pStyle w:val="null3"/>
      </w:pPr>
      <w:r>
        <w:rPr>
          <w:sz w:val="21"/>
          <w:b/>
        </w:rPr>
        <w:t>一、总则</w:t>
      </w:r>
    </w:p>
    <w:p>
      <w:pPr>
        <w:pStyle w:val="null3"/>
        <w:ind w:firstLine="422"/>
      </w:pPr>
      <w:r>
        <w:rPr>
          <w:sz w:val="21"/>
        </w:rPr>
        <w:t>1.采购文件中，如标有“▲”的条款均为评审的重要评分指标，供应商若有部分“▲”条款未响应或不满足，将导致其响应性评审严重扣分</w:t>
      </w:r>
      <w:r>
        <w:rPr>
          <w:sz w:val="21"/>
        </w:rPr>
        <w:t>。</w:t>
      </w:r>
    </w:p>
    <w:p>
      <w:pPr>
        <w:pStyle w:val="null3"/>
        <w:ind w:firstLine="422"/>
      </w:pPr>
      <w:r>
        <w:rPr>
          <w:sz w:val="21"/>
          <w:b/>
        </w:rPr>
        <w:t>2.本项目预算金额为：2379594.88元，经绩效办审核后，本项目最高限价为2132900.00元，报价超过最高限价的视为无效报价，作无效响应处理。</w:t>
      </w:r>
    </w:p>
    <w:p>
      <w:pPr>
        <w:pStyle w:val="null3"/>
        <w:ind w:firstLine="422"/>
      </w:pPr>
      <w:r>
        <w:rPr>
          <w:sz w:val="21"/>
          <w:b/>
        </w:rPr>
        <w:t>3</w:t>
      </w:r>
      <w:r>
        <w:rPr>
          <w:sz w:val="21"/>
          <w:b/>
        </w:rPr>
        <w:t>.核心产品：多功能补光灯</w:t>
      </w:r>
    </w:p>
    <w:p>
      <w:pPr>
        <w:pStyle w:val="null3"/>
        <w:ind w:firstLine="422"/>
      </w:pPr>
      <w:r>
        <w:rPr>
          <w:sz w:val="21"/>
          <w:b/>
        </w:rPr>
        <w:t>二、技术方案</w:t>
      </w:r>
    </w:p>
    <w:p>
      <w:pPr>
        <w:pStyle w:val="null3"/>
        <w:ind w:firstLine="422"/>
      </w:pPr>
      <w:r>
        <w:rPr>
          <w:sz w:val="21"/>
          <w:b/>
        </w:rPr>
        <w:t>1.项目概</w:t>
      </w:r>
      <w:r>
        <w:rPr>
          <w:sz w:val="21"/>
          <w:b/>
        </w:rPr>
        <w:t>述</w:t>
      </w:r>
    </w:p>
    <w:p>
      <w:pPr>
        <w:pStyle w:val="null3"/>
        <w:spacing w:before="120"/>
        <w:ind w:left="570"/>
        <w:jc w:val="both"/>
        <w:outlineLvl w:val="1"/>
      </w:pPr>
      <w:r>
        <w:rPr>
          <w:sz w:val="21"/>
          <w:b/>
        </w:rPr>
        <w:t>1.1.项目背景</w:t>
      </w:r>
    </w:p>
    <w:p>
      <w:pPr>
        <w:pStyle w:val="null3"/>
        <w:ind w:firstLine="420"/>
        <w:jc w:val="both"/>
      </w:pPr>
      <w:r>
        <w:rPr>
          <w:sz w:val="21"/>
        </w:rPr>
        <w:t>民众街道位于广东省中山市东北部，珠江出海口西岸，地处大沙田地区，毗邻</w:t>
      </w:r>
      <w:r>
        <w:rPr>
          <w:sz w:val="21"/>
        </w:rPr>
        <w:t>广州市</w:t>
      </w:r>
      <w:r>
        <w:rPr>
          <w:sz w:val="21"/>
        </w:rPr>
        <w:t>南沙区和中山市火炬开发区，镇辖区为典型的岭南水乡，河流纵横交错。</w:t>
      </w:r>
    </w:p>
    <w:p>
      <w:pPr>
        <w:pStyle w:val="null3"/>
        <w:ind w:firstLine="420"/>
        <w:jc w:val="both"/>
      </w:pPr>
      <w:r>
        <w:rPr>
          <w:sz w:val="21"/>
        </w:rPr>
        <w:t>随着中山市民众街道经济的高速发展、道路的快速建设、机动车拥有量的迅速攀升和过境车流快速增长，导致民众街道辖区以内交叉路口车流量日渐增加，路口繁忙拥堵现象频繁发生。民众街道原有的道路基础和交通管理措施已并不能满足日益增长的交通压力，仅仅依靠单纯的修建道路，无法解决交通的根本问题，特别是在交通问题严重的市区，由于建筑格局己经比较固定，进行大规模的道路建设往往是不可能的。与车辆相关的违法驾驶、超速行驶、肇事逃逸、盗抢机动车辆等违法事件大量发生，不仅给人民生命财产和道路交通造成了极大的威胁，同时也带来极大的社会和经济损失。</w:t>
      </w:r>
    </w:p>
    <w:p>
      <w:pPr>
        <w:pStyle w:val="null3"/>
        <w:ind w:firstLine="420"/>
        <w:jc w:val="both"/>
      </w:pPr>
      <w:r>
        <w:rPr>
          <w:sz w:val="21"/>
        </w:rPr>
        <w:t>目</w:t>
      </w:r>
      <w:r>
        <w:rPr>
          <w:sz w:val="21"/>
        </w:rPr>
        <w:t>前，公安部出台新规定，对多项交通违法行为加大了扣分力度，如闯红灯一次就扣</w:t>
      </w:r>
      <w:r>
        <w:rPr>
          <w:sz w:val="21"/>
        </w:rPr>
        <w:t>6分，这也加剧了倒分现象，即从有驾照却不用的司机那里收购驾照分，转卖给即将扣满12分的司机，这种弄虚作假的行为妨碍了相关部门的执法，已经涉嫌妨碍公务，</w:t>
      </w:r>
      <w:r>
        <w:rPr>
          <w:sz w:val="21"/>
        </w:rPr>
        <w:t>按照</w:t>
      </w:r>
      <w:r>
        <w:rPr>
          <w:sz w:val="21"/>
        </w:rPr>
        <w:t>2021年12月公安部科技信息化局《公共区域智能视频采集设备布建规则》要求支持主副驾驶人脸特征抠图功能，驾驶人面部图像不小于100x100个像素点，</w:t>
      </w:r>
      <w:r>
        <w:rPr>
          <w:sz w:val="21"/>
        </w:rPr>
        <w:t>不仅可以有效防止违法代扣分等违规行为，还可以为公安治安管理提供更完善的视频图片材料。</w:t>
      </w:r>
    </w:p>
    <w:p>
      <w:pPr>
        <w:pStyle w:val="null3"/>
        <w:ind w:firstLine="420"/>
        <w:jc w:val="both"/>
      </w:pPr>
      <w:r>
        <w:rPr>
          <w:sz w:val="21"/>
        </w:rPr>
        <w:t>为了从根本上解决城市交通问题，除了增强人民的交通意识以外，更重要的是要加强城市交通尤其是交通路口的科学管理手段，从而进一步提高中山市民众街道辖区交通管理的效率。以实现提升民众街道道路交通承载能力，解决交通拥堵，加强城市道路管理，降低交通违法事件，保持社会治安稳定的最终目标。</w:t>
      </w:r>
    </w:p>
    <w:p>
      <w:pPr>
        <w:pStyle w:val="null3"/>
        <w:ind w:firstLine="420"/>
        <w:jc w:val="both"/>
      </w:pPr>
      <w:r>
        <w:rPr>
          <w:sz w:val="21"/>
        </w:rPr>
        <w:t>中山市民众街道积极响应中山市政府的号召，按照有关要求，现正在组织建设</w:t>
      </w:r>
      <w:r>
        <w:rPr>
          <w:sz w:val="21"/>
        </w:rPr>
        <w:t>“民众街道多宝路段和阳光大道等路段违法抓拍系统及交通信号灯后台建设项目”。</w:t>
      </w:r>
    </w:p>
    <w:p>
      <w:pPr>
        <w:pStyle w:val="null3"/>
        <w:spacing w:before="120"/>
        <w:ind w:left="570"/>
        <w:jc w:val="both"/>
        <w:outlineLvl w:val="1"/>
      </w:pPr>
      <w:r>
        <w:rPr>
          <w:sz w:val="21"/>
          <w:b/>
        </w:rPr>
        <w:t>1.2.编制依据</w:t>
      </w:r>
    </w:p>
    <w:p>
      <w:pPr>
        <w:pStyle w:val="null3"/>
        <w:ind w:firstLine="420"/>
        <w:jc w:val="both"/>
      </w:pPr>
      <w:r>
        <w:rPr>
          <w:sz w:val="21"/>
        </w:rPr>
        <w:t>本项目建设范围内的活动均遵守国家现行的规范与标准，对我国未制定的规范，则参照相应的国际标准执行。除下述标准和规范外，本设计还遵循国家现行的相关标准和规范；遵循公安部门的有关业务、技术、数据等标准和规范。</w:t>
      </w:r>
    </w:p>
    <w:p>
      <w:pPr>
        <w:pStyle w:val="null3"/>
        <w:ind w:left="705"/>
        <w:jc w:val="both"/>
        <w:outlineLvl w:val="2"/>
      </w:pPr>
      <w:r>
        <w:rPr>
          <w:sz w:val="21"/>
          <w:b/>
        </w:rPr>
        <w:t>1.2.1.</w:t>
      </w:r>
      <w:r>
        <w:rPr>
          <w:sz w:val="21"/>
          <w:b/>
        </w:rPr>
        <w:t>国家、省市指导性文件</w:t>
      </w:r>
    </w:p>
    <w:p>
      <w:pPr>
        <w:pStyle w:val="null3"/>
        <w:ind w:firstLine="420"/>
      </w:pPr>
      <w:r>
        <w:rPr>
          <w:sz w:val="21"/>
        </w:rPr>
        <w:t>（</w:t>
      </w:r>
      <w:r>
        <w:rPr>
          <w:sz w:val="21"/>
        </w:rPr>
        <w:t>1）《中华人民共和国道路交通安全法》；</w:t>
      </w:r>
    </w:p>
    <w:p>
      <w:pPr>
        <w:pStyle w:val="null3"/>
        <w:ind w:firstLine="420"/>
      </w:pPr>
      <w:r>
        <w:rPr>
          <w:sz w:val="21"/>
        </w:rPr>
        <w:t>（</w:t>
      </w:r>
      <w:r>
        <w:rPr>
          <w:sz w:val="21"/>
        </w:rPr>
        <w:t>2）《关于印发广东省治安卡口视频监控系统建设规范的通知》（粤公通字&lt;2008&gt;255号）；</w:t>
      </w:r>
    </w:p>
    <w:p>
      <w:pPr>
        <w:pStyle w:val="null3"/>
        <w:ind w:firstLine="420"/>
      </w:pPr>
      <w:r>
        <w:rPr>
          <w:sz w:val="21"/>
        </w:rPr>
        <w:t>（</w:t>
      </w:r>
      <w:r>
        <w:rPr>
          <w:sz w:val="21"/>
        </w:rPr>
        <w:t>3）《广东省公安视频卡口电警联网及大数据应用技术规范》；</w:t>
      </w:r>
    </w:p>
    <w:p>
      <w:pPr>
        <w:pStyle w:val="null3"/>
        <w:ind w:firstLine="420"/>
      </w:pPr>
      <w:r>
        <w:rPr>
          <w:sz w:val="21"/>
        </w:rPr>
        <w:t>（</w:t>
      </w:r>
      <w:r>
        <w:rPr>
          <w:sz w:val="21"/>
        </w:rPr>
        <w:t>4）《广东省公共安全视频图像信息系统管理办法》（广东省人民政府令第132号）；</w:t>
      </w:r>
    </w:p>
    <w:p>
      <w:pPr>
        <w:pStyle w:val="null3"/>
        <w:ind w:firstLine="420"/>
      </w:pPr>
      <w:r>
        <w:rPr>
          <w:sz w:val="21"/>
        </w:rPr>
        <w:t>（</w:t>
      </w:r>
      <w:r>
        <w:rPr>
          <w:sz w:val="21"/>
        </w:rPr>
        <w:t>5）《关于加强公共安全视频监控建设联网应用工作的若干意见》（发改高技〔2015〕996号）；</w:t>
      </w:r>
    </w:p>
    <w:p>
      <w:pPr>
        <w:pStyle w:val="null3"/>
        <w:ind w:firstLine="420"/>
      </w:pPr>
      <w:r>
        <w:rPr>
          <w:sz w:val="21"/>
        </w:rPr>
        <w:t>（</w:t>
      </w:r>
      <w:r>
        <w:rPr>
          <w:sz w:val="21"/>
        </w:rPr>
        <w:t>6）《关于加强社会治安防控体系建设的意见》（中共中央办公厅、国务院办公厅2015年4月13日印发）；</w:t>
      </w:r>
    </w:p>
    <w:p>
      <w:pPr>
        <w:pStyle w:val="null3"/>
        <w:ind w:firstLine="420"/>
      </w:pPr>
      <w:r>
        <w:rPr>
          <w:sz w:val="21"/>
        </w:rPr>
        <w:t>（</w:t>
      </w:r>
      <w:r>
        <w:rPr>
          <w:sz w:val="21"/>
        </w:rPr>
        <w:t>7）《广东省社会治安视频监控系统监控中心平台建设规范》；</w:t>
      </w:r>
    </w:p>
    <w:p>
      <w:pPr>
        <w:pStyle w:val="null3"/>
        <w:ind w:firstLine="420"/>
      </w:pPr>
      <w:r>
        <w:rPr>
          <w:sz w:val="21"/>
        </w:rPr>
        <w:t>（</w:t>
      </w:r>
      <w:r>
        <w:rPr>
          <w:sz w:val="21"/>
        </w:rPr>
        <w:t>8）《广东省社会治安视频监控系统建设指引》；</w:t>
      </w:r>
    </w:p>
    <w:p>
      <w:pPr>
        <w:pStyle w:val="null3"/>
        <w:ind w:firstLine="420"/>
      </w:pPr>
      <w:r>
        <w:rPr>
          <w:sz w:val="21"/>
        </w:rPr>
        <w:t>（</w:t>
      </w:r>
      <w:r>
        <w:rPr>
          <w:sz w:val="21"/>
        </w:rPr>
        <w:t>9）《广东省社会治安视频监控系统数据传输技术规范》；</w:t>
      </w:r>
    </w:p>
    <w:p>
      <w:pPr>
        <w:pStyle w:val="null3"/>
        <w:ind w:firstLine="420"/>
      </w:pPr>
      <w:r>
        <w:rPr>
          <w:sz w:val="21"/>
        </w:rPr>
        <w:t>（</w:t>
      </w:r>
      <w:r>
        <w:rPr>
          <w:sz w:val="21"/>
        </w:rPr>
        <w:t>10）《广东省安全技术防范管理条例》；</w:t>
      </w:r>
    </w:p>
    <w:p>
      <w:pPr>
        <w:pStyle w:val="null3"/>
        <w:ind w:firstLine="420"/>
      </w:pPr>
      <w:r>
        <w:rPr>
          <w:sz w:val="21"/>
        </w:rPr>
        <w:t>（</w:t>
      </w:r>
      <w:r>
        <w:rPr>
          <w:sz w:val="21"/>
        </w:rPr>
        <w:t>11）《广东省安全技术防范管理实施办法》；</w:t>
      </w:r>
    </w:p>
    <w:p>
      <w:pPr>
        <w:pStyle w:val="null3"/>
        <w:ind w:firstLine="420"/>
      </w:pPr>
      <w:r>
        <w:rPr>
          <w:sz w:val="21"/>
        </w:rPr>
        <w:t>（</w:t>
      </w:r>
      <w:r>
        <w:rPr>
          <w:sz w:val="21"/>
        </w:rPr>
        <w:t>12）公安部《交通管理信息系统建设框架》；</w:t>
      </w:r>
    </w:p>
    <w:p>
      <w:pPr>
        <w:pStyle w:val="null3"/>
        <w:ind w:left="705"/>
        <w:jc w:val="both"/>
        <w:outlineLvl w:val="2"/>
      </w:pPr>
      <w:r>
        <w:rPr>
          <w:sz w:val="21"/>
          <w:b/>
        </w:rPr>
        <w:t>1.2.2.</w:t>
      </w:r>
      <w:r>
        <w:rPr>
          <w:sz w:val="21"/>
          <w:b/>
        </w:rPr>
        <w:t>国家、行业规范性文件</w:t>
      </w:r>
    </w:p>
    <w:p>
      <w:pPr>
        <w:pStyle w:val="null3"/>
        <w:ind w:firstLine="420"/>
        <w:jc w:val="both"/>
      </w:pPr>
      <w:r>
        <w:rPr>
          <w:sz w:val="21"/>
        </w:rPr>
        <w:t>（</w:t>
      </w:r>
      <w:r>
        <w:rPr>
          <w:sz w:val="21"/>
        </w:rPr>
        <w:t>1</w:t>
      </w:r>
      <w:r>
        <w:rPr>
          <w:sz w:val="21"/>
        </w:rPr>
        <w:t>）</w:t>
      </w:r>
      <w:r>
        <w:rPr>
          <w:sz w:val="21"/>
        </w:rPr>
        <w:t>GB/T 28181-2</w:t>
      </w:r>
      <w:r>
        <w:rPr>
          <w:sz w:val="21"/>
        </w:rPr>
        <w:t>022</w:t>
      </w:r>
      <w:r>
        <w:rPr>
          <w:sz w:val="21"/>
        </w:rPr>
        <w:t>《</w:t>
      </w:r>
      <w:r>
        <w:rPr>
          <w:sz w:val="21"/>
        </w:rPr>
        <w:t>公共安全视频监控联网系统信息传输交换控制技术要求</w:t>
      </w:r>
      <w:r>
        <w:rPr>
          <w:sz w:val="21"/>
        </w:rPr>
        <w:t>》</w:t>
      </w:r>
    </w:p>
    <w:p>
      <w:pPr>
        <w:pStyle w:val="null3"/>
        <w:ind w:firstLine="422"/>
        <w:jc w:val="both"/>
      </w:pPr>
      <w:r>
        <w:rPr>
          <w:sz w:val="21"/>
          <w:b/>
        </w:rPr>
        <w:t>（</w:t>
      </w:r>
      <w:r>
        <w:rPr>
          <w:sz w:val="21"/>
          <w:b/>
        </w:rPr>
        <w:t>2）</w:t>
      </w:r>
      <w:r>
        <w:rPr>
          <w:sz w:val="21"/>
          <w:b/>
        </w:rPr>
        <w:t>GB 50311-2016《</w:t>
      </w:r>
      <w:r>
        <w:rPr>
          <w:sz w:val="21"/>
          <w:b/>
        </w:rPr>
        <w:t>综合布线系统工程设计规范</w:t>
      </w:r>
      <w:r>
        <w:rPr>
          <w:sz w:val="21"/>
          <w:b/>
        </w:rPr>
        <w:t>》</w:t>
      </w:r>
      <w:r>
        <w:rPr>
          <w:sz w:val="21"/>
          <w:b/>
        </w:rPr>
        <w:t>（含强制性条款）</w:t>
      </w:r>
    </w:p>
    <w:p>
      <w:pPr>
        <w:pStyle w:val="null3"/>
        <w:ind w:firstLine="422"/>
        <w:jc w:val="both"/>
      </w:pPr>
      <w:r>
        <w:rPr>
          <w:sz w:val="21"/>
          <w:b/>
        </w:rPr>
        <w:t>（</w:t>
      </w:r>
      <w:r>
        <w:rPr>
          <w:sz w:val="21"/>
          <w:b/>
        </w:rPr>
        <w:t>3）GB 50395-2007《视频安防监控系统工程设计规范》（含强制性条款）</w:t>
      </w:r>
    </w:p>
    <w:p>
      <w:pPr>
        <w:pStyle w:val="null3"/>
        <w:ind w:firstLine="420"/>
        <w:jc w:val="both"/>
      </w:pPr>
      <w:r>
        <w:rPr>
          <w:sz w:val="21"/>
        </w:rPr>
        <w:t>（</w:t>
      </w:r>
      <w:r>
        <w:rPr>
          <w:sz w:val="21"/>
        </w:rPr>
        <w:t>4</w:t>
      </w:r>
      <w:r>
        <w:rPr>
          <w:sz w:val="21"/>
        </w:rPr>
        <w:t>）</w:t>
      </w:r>
      <w:r>
        <w:rPr>
          <w:sz w:val="21"/>
        </w:rPr>
        <w:t>GB 50348-2018</w:t>
      </w:r>
      <w:r>
        <w:rPr>
          <w:sz w:val="21"/>
        </w:rPr>
        <w:t>《安全防范工程技术标准》</w:t>
      </w:r>
    </w:p>
    <w:p>
      <w:pPr>
        <w:pStyle w:val="null3"/>
        <w:ind w:firstLine="420"/>
        <w:jc w:val="both"/>
      </w:pPr>
      <w:r>
        <w:rPr>
          <w:sz w:val="21"/>
        </w:rPr>
        <w:t>（</w:t>
      </w:r>
      <w:r>
        <w:rPr>
          <w:sz w:val="21"/>
        </w:rPr>
        <w:t>5）GB 50343-2012《建筑物电子信息系统防雷技术规范》</w:t>
      </w:r>
    </w:p>
    <w:p>
      <w:pPr>
        <w:pStyle w:val="null3"/>
        <w:ind w:firstLine="422"/>
        <w:jc w:val="both"/>
      </w:pPr>
      <w:r>
        <w:rPr>
          <w:sz w:val="21"/>
          <w:b/>
        </w:rPr>
        <w:t>（</w:t>
      </w:r>
      <w:r>
        <w:rPr>
          <w:sz w:val="21"/>
          <w:b/>
        </w:rPr>
        <w:t>6）</w:t>
      </w:r>
      <w:r>
        <w:rPr>
          <w:sz w:val="21"/>
          <w:b/>
        </w:rPr>
        <w:t>GB</w:t>
      </w:r>
      <w:r>
        <w:rPr>
          <w:sz w:val="24"/>
          <w:b/>
        </w:rPr>
        <w:t xml:space="preserve"> </w:t>
      </w:r>
      <w:r>
        <w:rPr>
          <w:sz w:val="21"/>
          <w:b/>
        </w:rPr>
        <w:t>50373-20</w:t>
      </w:r>
      <w:r>
        <w:rPr>
          <w:sz w:val="21"/>
          <w:b/>
        </w:rPr>
        <w:t>19《通信管道与通道工程设计标准》（含强制性条款）</w:t>
      </w:r>
    </w:p>
    <w:p>
      <w:pPr>
        <w:pStyle w:val="null3"/>
        <w:ind w:firstLine="422"/>
        <w:jc w:val="both"/>
      </w:pPr>
      <w:r>
        <w:rPr>
          <w:sz w:val="21"/>
          <w:b/>
          <w:shd w:fill="FFFFFF" w:val="clear"/>
        </w:rPr>
        <w:t>（</w:t>
      </w:r>
      <w:r>
        <w:rPr>
          <w:sz w:val="21"/>
          <w:b/>
          <w:shd w:fill="FFFFFF" w:val="clear"/>
        </w:rPr>
        <w:t>7）</w:t>
      </w:r>
      <w:r>
        <w:rPr>
          <w:sz w:val="21"/>
          <w:b/>
          <w:shd w:fill="FFFFFF" w:val="clear"/>
        </w:rPr>
        <w:t>GB</w:t>
      </w:r>
      <w:r>
        <w:rPr>
          <w:sz w:val="21"/>
          <w:b/>
          <w:shd w:fill="FFFFFF" w:val="clear"/>
        </w:rPr>
        <w:t xml:space="preserve">/T </w:t>
      </w:r>
      <w:r>
        <w:rPr>
          <w:sz w:val="21"/>
          <w:b/>
          <w:shd w:fill="FFFFFF" w:val="clear"/>
        </w:rPr>
        <w:t>5037</w:t>
      </w:r>
      <w:r>
        <w:rPr>
          <w:sz w:val="21"/>
          <w:b/>
          <w:shd w:fill="FFFFFF" w:val="clear"/>
        </w:rPr>
        <w:t>4</w:t>
      </w:r>
      <w:r>
        <w:rPr>
          <w:sz w:val="21"/>
          <w:b/>
          <w:shd w:fill="FFFFFF" w:val="clear"/>
        </w:rPr>
        <w:t>-20</w:t>
      </w:r>
      <w:r>
        <w:rPr>
          <w:sz w:val="21"/>
          <w:b/>
          <w:shd w:fill="FFFFFF" w:val="clear"/>
        </w:rPr>
        <w:t>18《</w:t>
      </w:r>
      <w:r>
        <w:rPr>
          <w:sz w:val="21"/>
          <w:b/>
          <w:shd w:fill="FFFFFF" w:val="clear"/>
        </w:rPr>
        <w:t>通信管道工程施工及验收标准</w:t>
      </w:r>
      <w:r>
        <w:rPr>
          <w:sz w:val="21"/>
          <w:b/>
          <w:shd w:fill="FFFFFF" w:val="clear"/>
        </w:rPr>
        <w:t>》</w:t>
      </w:r>
    </w:p>
    <w:p>
      <w:pPr>
        <w:pStyle w:val="null3"/>
        <w:ind w:firstLine="422"/>
        <w:jc w:val="both"/>
      </w:pPr>
      <w:r>
        <w:rPr>
          <w:sz w:val="21"/>
          <w:b/>
          <w:shd w:fill="FFFFFF" w:val="clear"/>
        </w:rPr>
        <w:t>（</w:t>
      </w:r>
      <w:r>
        <w:rPr>
          <w:sz w:val="21"/>
          <w:b/>
          <w:shd w:fill="FFFFFF" w:val="clear"/>
        </w:rPr>
        <w:t>8）GB/T25070-201</w:t>
      </w:r>
      <w:r>
        <w:rPr>
          <w:sz w:val="21"/>
          <w:b/>
          <w:shd w:fill="FFFFFF" w:val="clear"/>
        </w:rPr>
        <w:t>9</w:t>
      </w:r>
      <w:r>
        <w:rPr>
          <w:sz w:val="21"/>
          <w:b/>
          <w:shd w:fill="FFFFFF" w:val="clear"/>
        </w:rPr>
        <w:t>《信息安</w:t>
      </w:r>
      <w:r>
        <w:rPr>
          <w:sz w:val="21"/>
          <w:b/>
          <w:shd w:fill="FFFFFF" w:val="clear"/>
        </w:rPr>
        <w:t>全技术网络</w:t>
      </w:r>
      <w:r>
        <w:rPr>
          <w:sz w:val="21"/>
          <w:b/>
          <w:shd w:fill="FFFFFF" w:val="clear"/>
        </w:rPr>
        <w:t>安</w:t>
      </w:r>
      <w:r>
        <w:rPr>
          <w:sz w:val="21"/>
          <w:b/>
          <w:shd w:fill="FFFFFF" w:val="clear"/>
        </w:rPr>
        <w:t>全</w:t>
      </w:r>
      <w:r>
        <w:rPr>
          <w:sz w:val="21"/>
          <w:b/>
          <w:shd w:fill="FFFFFF" w:val="clear"/>
        </w:rPr>
        <w:t>等级保护安全设计技术要求》</w:t>
      </w:r>
    </w:p>
    <w:p>
      <w:pPr>
        <w:pStyle w:val="null3"/>
        <w:ind w:firstLine="422"/>
        <w:jc w:val="both"/>
      </w:pPr>
      <w:r>
        <w:rPr>
          <w:sz w:val="21"/>
          <w:b/>
          <w:shd w:fill="FFFFFF" w:val="clear"/>
        </w:rPr>
        <w:t>（</w:t>
      </w:r>
      <w:r>
        <w:rPr>
          <w:sz w:val="21"/>
          <w:b/>
          <w:shd w:fill="FFFFFF" w:val="clear"/>
        </w:rPr>
        <w:t>9）</w:t>
      </w:r>
      <w:r>
        <w:rPr>
          <w:sz w:val="21"/>
          <w:b/>
          <w:shd w:fill="FFFFFF" w:val="clear"/>
        </w:rPr>
        <w:t>GB/T22239</w:t>
      </w:r>
      <w:r>
        <w:rPr>
          <w:sz w:val="21"/>
          <w:b/>
          <w:shd w:fill="FFFFFF" w:val="clear"/>
        </w:rPr>
        <w:t>—</w:t>
      </w:r>
      <w:r>
        <w:rPr>
          <w:sz w:val="21"/>
          <w:b/>
          <w:shd w:fill="FFFFFF" w:val="clear"/>
        </w:rPr>
        <w:t>2019</w:t>
      </w:r>
      <w:r>
        <w:rPr>
          <w:sz w:val="21"/>
          <w:b/>
          <w:shd w:fill="FFFFFF" w:val="clear"/>
        </w:rPr>
        <w:t>《信息安全技术网络安全等级保护基本要求》</w:t>
      </w:r>
    </w:p>
    <w:p>
      <w:pPr>
        <w:pStyle w:val="null3"/>
        <w:ind w:firstLine="422"/>
        <w:jc w:val="both"/>
      </w:pPr>
      <w:r>
        <w:rPr>
          <w:sz w:val="21"/>
          <w:b/>
          <w:shd w:fill="FFFFFF" w:val="clear"/>
        </w:rPr>
        <w:t>（</w:t>
      </w:r>
      <w:r>
        <w:rPr>
          <w:sz w:val="21"/>
          <w:b/>
          <w:shd w:fill="FFFFFF" w:val="clear"/>
        </w:rPr>
        <w:t>10）</w:t>
      </w:r>
      <w:r>
        <w:rPr>
          <w:sz w:val="21"/>
          <w:b/>
          <w:shd w:fill="FFFFFF" w:val="clear"/>
        </w:rPr>
        <w:t>GB/T22240</w:t>
      </w:r>
      <w:r>
        <w:rPr>
          <w:sz w:val="21"/>
          <w:b/>
          <w:shd w:fill="FFFFFF" w:val="clear"/>
        </w:rPr>
        <w:t>—</w:t>
      </w:r>
      <w:r>
        <w:rPr>
          <w:sz w:val="21"/>
          <w:b/>
          <w:shd w:fill="FFFFFF" w:val="clear"/>
        </w:rPr>
        <w:t>2020</w:t>
      </w:r>
      <w:r>
        <w:rPr>
          <w:sz w:val="21"/>
          <w:b/>
          <w:shd w:fill="FFFFFF" w:val="clear"/>
        </w:rPr>
        <w:t>《信息安全技术网络安全等级保护定级指南》</w:t>
      </w:r>
    </w:p>
    <w:p>
      <w:pPr>
        <w:pStyle w:val="null3"/>
        <w:ind w:firstLine="422"/>
        <w:jc w:val="both"/>
      </w:pPr>
      <w:r>
        <w:rPr>
          <w:sz w:val="21"/>
          <w:b/>
          <w:shd w:fill="FFFFFF" w:val="clear"/>
        </w:rPr>
        <w:t>（</w:t>
      </w:r>
      <w:r>
        <w:rPr>
          <w:sz w:val="21"/>
          <w:b/>
          <w:shd w:fill="FFFFFF" w:val="clear"/>
        </w:rPr>
        <w:t>11）</w:t>
      </w:r>
      <w:r>
        <w:rPr>
          <w:sz w:val="21"/>
          <w:b/>
          <w:shd w:fill="FFFFFF" w:val="clear"/>
        </w:rPr>
        <w:t>GB/T28449</w:t>
      </w:r>
      <w:r>
        <w:rPr>
          <w:sz w:val="21"/>
          <w:b/>
          <w:shd w:fill="FFFFFF" w:val="clear"/>
        </w:rPr>
        <w:t>—</w:t>
      </w:r>
      <w:r>
        <w:rPr>
          <w:sz w:val="21"/>
          <w:b/>
          <w:shd w:fill="FFFFFF" w:val="clear"/>
        </w:rPr>
        <w:t>2018</w:t>
      </w:r>
      <w:r>
        <w:rPr>
          <w:sz w:val="21"/>
          <w:b/>
          <w:shd w:fill="FFFFFF" w:val="clear"/>
        </w:rPr>
        <w:t>《信息安全技术网络安全等级保护测评过程指南》</w:t>
      </w:r>
    </w:p>
    <w:p>
      <w:pPr>
        <w:pStyle w:val="null3"/>
        <w:ind w:firstLine="422"/>
        <w:jc w:val="both"/>
      </w:pPr>
      <w:r>
        <w:rPr>
          <w:sz w:val="21"/>
          <w:b/>
          <w:shd w:fill="FFFFFF" w:val="clear"/>
        </w:rPr>
        <w:t>（</w:t>
      </w:r>
      <w:r>
        <w:rPr>
          <w:sz w:val="21"/>
          <w:b/>
          <w:shd w:fill="FFFFFF" w:val="clear"/>
        </w:rPr>
        <w:t>12）GB/T25070-201</w:t>
      </w:r>
      <w:r>
        <w:rPr>
          <w:sz w:val="21"/>
          <w:b/>
          <w:shd w:fill="FFFFFF" w:val="clear"/>
        </w:rPr>
        <w:t>9</w:t>
      </w:r>
      <w:r>
        <w:rPr>
          <w:sz w:val="21"/>
          <w:b/>
          <w:shd w:fill="FFFFFF" w:val="clear"/>
        </w:rPr>
        <w:t>《信息安</w:t>
      </w:r>
      <w:r>
        <w:rPr>
          <w:sz w:val="21"/>
          <w:b/>
          <w:shd w:fill="FFFFFF" w:val="clear"/>
        </w:rPr>
        <w:t>全技术网络</w:t>
      </w:r>
      <w:r>
        <w:rPr>
          <w:sz w:val="21"/>
          <w:b/>
          <w:shd w:fill="FFFFFF" w:val="clear"/>
        </w:rPr>
        <w:t>安</w:t>
      </w:r>
      <w:r>
        <w:rPr>
          <w:sz w:val="21"/>
          <w:b/>
          <w:shd w:fill="FFFFFF" w:val="clear"/>
        </w:rPr>
        <w:t>全</w:t>
      </w:r>
      <w:r>
        <w:rPr>
          <w:sz w:val="21"/>
          <w:b/>
          <w:shd w:fill="FFFFFF" w:val="clear"/>
        </w:rPr>
        <w:t>等级保护安全设计技术要求》</w:t>
      </w:r>
    </w:p>
    <w:p>
      <w:pPr>
        <w:pStyle w:val="null3"/>
        <w:ind w:firstLine="420"/>
        <w:jc w:val="both"/>
      </w:pPr>
      <w:r>
        <w:rPr>
          <w:sz w:val="21"/>
        </w:rPr>
        <w:t>（</w:t>
      </w:r>
      <w:r>
        <w:rPr>
          <w:sz w:val="21"/>
        </w:rPr>
        <w:t>13）GA/T 1202-20</w:t>
      </w:r>
      <w:r>
        <w:rPr>
          <w:sz w:val="21"/>
        </w:rPr>
        <w:t>22</w:t>
      </w:r>
      <w:r>
        <w:rPr>
          <w:sz w:val="21"/>
          <w:b/>
        </w:rPr>
        <w:t>《交通技术监控成像补光装置通用技术条件》</w:t>
      </w:r>
    </w:p>
    <w:p>
      <w:pPr>
        <w:pStyle w:val="null3"/>
        <w:ind w:firstLine="420"/>
        <w:jc w:val="both"/>
      </w:pPr>
      <w:r>
        <w:rPr>
          <w:sz w:val="21"/>
        </w:rPr>
        <w:t>（</w:t>
      </w:r>
      <w:r>
        <w:rPr>
          <w:sz w:val="21"/>
        </w:rPr>
        <w:t>14）GA 308-2001《安全防范系统验收规则》</w:t>
      </w:r>
    </w:p>
    <w:p>
      <w:pPr>
        <w:pStyle w:val="null3"/>
        <w:ind w:firstLine="420"/>
        <w:jc w:val="both"/>
      </w:pPr>
      <w:r>
        <w:rPr>
          <w:sz w:val="21"/>
        </w:rPr>
        <w:t>（</w:t>
      </w:r>
      <w:r>
        <w:rPr>
          <w:sz w:val="21"/>
        </w:rPr>
        <w:t>15）GA/T 1400.1-2017《公安视频图像信息应用系统 第一部分：通用技术要求》；</w:t>
      </w:r>
    </w:p>
    <w:p>
      <w:pPr>
        <w:pStyle w:val="null3"/>
        <w:ind w:firstLine="420"/>
        <w:jc w:val="both"/>
      </w:pPr>
      <w:r>
        <w:rPr>
          <w:sz w:val="21"/>
        </w:rPr>
        <w:t>（</w:t>
      </w:r>
      <w:r>
        <w:rPr>
          <w:sz w:val="21"/>
        </w:rPr>
        <w:t>16）GA/T 1400.2-2007《公安视频图像信息应用系统 第二部分：应用平台技术要求》；</w:t>
      </w:r>
    </w:p>
    <w:p>
      <w:pPr>
        <w:pStyle w:val="null3"/>
        <w:ind w:firstLine="420"/>
        <w:jc w:val="both"/>
      </w:pPr>
      <w:r>
        <w:rPr>
          <w:sz w:val="21"/>
        </w:rPr>
        <w:t>（</w:t>
      </w:r>
      <w:r>
        <w:rPr>
          <w:sz w:val="21"/>
        </w:rPr>
        <w:t>17）GA/T 1400.3-2007《公安视频图像信息应用系统 第三部分：数据库技术要求》；</w:t>
      </w:r>
    </w:p>
    <w:p>
      <w:pPr>
        <w:pStyle w:val="null3"/>
        <w:ind w:firstLine="420"/>
        <w:jc w:val="both"/>
      </w:pPr>
      <w:r>
        <w:rPr>
          <w:sz w:val="21"/>
        </w:rPr>
        <w:t>（</w:t>
      </w:r>
      <w:r>
        <w:rPr>
          <w:sz w:val="21"/>
        </w:rPr>
        <w:t>18）GA/T 1400.4-2007《公安视频图像信息应用系统 第四部分：接口协议要求》；</w:t>
      </w:r>
    </w:p>
    <w:p>
      <w:pPr>
        <w:pStyle w:val="null3"/>
        <w:ind w:firstLine="420"/>
        <w:jc w:val="both"/>
      </w:pPr>
      <w:r>
        <w:rPr>
          <w:sz w:val="21"/>
        </w:rPr>
        <w:t>（</w:t>
      </w:r>
      <w:r>
        <w:rPr>
          <w:sz w:val="21"/>
        </w:rPr>
        <w:t>19）GA/T 751-2008《视频图像文字标注规范》</w:t>
      </w:r>
    </w:p>
    <w:p>
      <w:pPr>
        <w:pStyle w:val="null3"/>
        <w:ind w:firstLine="420"/>
        <w:jc w:val="both"/>
      </w:pPr>
      <w:r>
        <w:rPr>
          <w:sz w:val="21"/>
        </w:rPr>
        <w:t>（</w:t>
      </w:r>
      <w:r>
        <w:rPr>
          <w:sz w:val="21"/>
        </w:rPr>
        <w:t>20）</w:t>
      </w:r>
      <w:r>
        <w:rPr>
          <w:sz w:val="21"/>
        </w:rPr>
        <w:t>GA/T 496-2014《闯红灯自动记录系统通用技术条件》</w:t>
      </w:r>
    </w:p>
    <w:p>
      <w:pPr>
        <w:pStyle w:val="null3"/>
        <w:ind w:firstLine="420"/>
        <w:jc w:val="both"/>
      </w:pPr>
      <w:r>
        <w:rPr>
          <w:sz w:val="21"/>
        </w:rPr>
        <w:t>（</w:t>
      </w:r>
      <w:r>
        <w:rPr>
          <w:sz w:val="21"/>
        </w:rPr>
        <w:t>21）GA/T 832-2014《道路交通安全违法行为图像取证技术规范》</w:t>
      </w:r>
    </w:p>
    <w:p>
      <w:pPr>
        <w:pStyle w:val="null3"/>
        <w:ind w:firstLine="420"/>
        <w:jc w:val="both"/>
      </w:pPr>
      <w:r>
        <w:rPr>
          <w:sz w:val="21"/>
        </w:rPr>
        <w:t>（</w:t>
      </w:r>
      <w:r>
        <w:rPr>
          <w:sz w:val="21"/>
        </w:rPr>
        <w:t>22）GA/T 833-2016《机动车号牌图像自动识别技术规范》</w:t>
      </w:r>
    </w:p>
    <w:p>
      <w:pPr>
        <w:pStyle w:val="null3"/>
        <w:ind w:firstLine="420"/>
        <w:jc w:val="both"/>
      </w:pPr>
      <w:r>
        <w:rPr>
          <w:sz w:val="21"/>
        </w:rPr>
        <w:t>（</w:t>
      </w:r>
      <w:r>
        <w:rPr>
          <w:sz w:val="21"/>
        </w:rPr>
        <w:t>23）GA/T 651-2021《公安交通指挥系统工程建设通用程序和要求》</w:t>
      </w:r>
    </w:p>
    <w:p>
      <w:pPr>
        <w:pStyle w:val="null3"/>
        <w:ind w:firstLine="420"/>
        <w:jc w:val="both"/>
      </w:pPr>
      <w:r>
        <w:rPr>
          <w:sz w:val="21"/>
        </w:rPr>
        <w:t>（</w:t>
      </w:r>
      <w:r>
        <w:rPr>
          <w:sz w:val="21"/>
        </w:rPr>
        <w:t>24）GA/T 515-2019《公安交通指挥系统设计规范》</w:t>
      </w:r>
    </w:p>
    <w:p>
      <w:pPr>
        <w:pStyle w:val="null3"/>
        <w:ind w:firstLine="420"/>
        <w:jc w:val="both"/>
      </w:pPr>
      <w:r>
        <w:rPr>
          <w:sz w:val="21"/>
        </w:rPr>
        <w:t>（</w:t>
      </w:r>
      <w:r>
        <w:rPr>
          <w:sz w:val="21"/>
        </w:rPr>
        <w:t>25）GA/T 652-2017《公安交通管理外场设备基础设施施工通用要求》</w:t>
      </w:r>
    </w:p>
    <w:p>
      <w:pPr>
        <w:pStyle w:val="null3"/>
        <w:ind w:firstLine="420"/>
        <w:jc w:val="both"/>
      </w:pPr>
      <w:r>
        <w:rPr>
          <w:sz w:val="21"/>
        </w:rPr>
        <w:t>（</w:t>
      </w:r>
      <w:r>
        <w:rPr>
          <w:sz w:val="21"/>
        </w:rPr>
        <w:t>26）GA/T 670-2006《安全防范系统雷电浪涌防护技术要求》</w:t>
      </w:r>
    </w:p>
    <w:p>
      <w:pPr>
        <w:pStyle w:val="null3"/>
        <w:ind w:firstLine="420"/>
        <w:jc w:val="both"/>
      </w:pPr>
      <w:r>
        <w:rPr>
          <w:sz w:val="21"/>
        </w:rPr>
        <w:t>（</w:t>
      </w:r>
      <w:r>
        <w:rPr>
          <w:sz w:val="21"/>
        </w:rPr>
        <w:t>27）GA/T 75-1994《安全防范工程程序与要求》</w:t>
      </w:r>
    </w:p>
    <w:p>
      <w:pPr>
        <w:pStyle w:val="null3"/>
        <w:ind w:firstLine="420"/>
        <w:jc w:val="both"/>
      </w:pPr>
      <w:r>
        <w:rPr>
          <w:sz w:val="21"/>
        </w:rPr>
        <w:t>（</w:t>
      </w:r>
      <w:r>
        <w:rPr>
          <w:sz w:val="21"/>
        </w:rPr>
        <w:t>28）GA/T 74-2017《安全防范系统通用图形符号》</w:t>
      </w:r>
    </w:p>
    <w:p>
      <w:pPr>
        <w:pStyle w:val="null3"/>
        <w:ind w:firstLine="420"/>
        <w:jc w:val="both"/>
      </w:pPr>
      <w:r>
        <w:rPr>
          <w:sz w:val="21"/>
        </w:rPr>
        <w:t>（</w:t>
      </w:r>
      <w:r>
        <w:rPr>
          <w:sz w:val="21"/>
        </w:rPr>
        <w:t>29）GA/T 995-2020《道路交通安全违法行为视频取证设备技术规范》</w:t>
      </w:r>
    </w:p>
    <w:p>
      <w:pPr>
        <w:pStyle w:val="null3"/>
        <w:ind w:firstLine="420"/>
        <w:jc w:val="both"/>
      </w:pPr>
      <w:r>
        <w:rPr>
          <w:sz w:val="21"/>
        </w:rPr>
        <w:t>（</w:t>
      </w:r>
      <w:r>
        <w:rPr>
          <w:sz w:val="21"/>
        </w:rPr>
        <w:t>30）JTG D81-2017《公路交通安全设施设计规范》</w:t>
      </w:r>
    </w:p>
    <w:p>
      <w:pPr>
        <w:pStyle w:val="null3"/>
        <w:ind w:firstLine="422"/>
      </w:pPr>
      <w:r>
        <w:rPr>
          <w:sz w:val="21"/>
          <w:b/>
        </w:rPr>
        <w:t>（</w:t>
      </w:r>
      <w:r>
        <w:rPr>
          <w:sz w:val="21"/>
          <w:b/>
        </w:rPr>
        <w:t>31）</w:t>
      </w:r>
      <w:r>
        <w:rPr>
          <w:sz w:val="21"/>
          <w:b/>
        </w:rPr>
        <w:t>YD 5059-2005</w:t>
      </w:r>
      <w:r>
        <w:rPr>
          <w:sz w:val="21"/>
          <w:b/>
        </w:rPr>
        <w:t>《</w:t>
      </w:r>
      <w:r>
        <w:rPr>
          <w:sz w:val="21"/>
          <w:b/>
        </w:rPr>
        <w:t>通信设备安装抗震设计规范</w:t>
      </w:r>
      <w:r>
        <w:rPr>
          <w:sz w:val="21"/>
          <w:b/>
        </w:rPr>
        <w:t>》</w:t>
      </w:r>
    </w:p>
    <w:p>
      <w:pPr>
        <w:pStyle w:val="null3"/>
        <w:ind w:left="705"/>
        <w:jc w:val="both"/>
        <w:outlineLvl w:val="2"/>
      </w:pPr>
      <w:r>
        <w:rPr>
          <w:sz w:val="21"/>
          <w:b/>
        </w:rPr>
        <w:t>1.2.3.</w:t>
      </w:r>
      <w:r>
        <w:rPr>
          <w:sz w:val="21"/>
          <w:b/>
        </w:rPr>
        <w:t>其他依据</w:t>
      </w:r>
    </w:p>
    <w:p>
      <w:pPr>
        <w:pStyle w:val="null3"/>
        <w:ind w:firstLine="420"/>
        <w:jc w:val="both"/>
      </w:pPr>
      <w:r>
        <w:rPr>
          <w:sz w:val="21"/>
        </w:rPr>
        <w:t>（</w:t>
      </w:r>
      <w:r>
        <w:rPr>
          <w:sz w:val="21"/>
        </w:rPr>
        <w:t>1）中华人民共和国主席[2014]13号《中华人民共和国安全生产法》；</w:t>
      </w:r>
    </w:p>
    <w:p>
      <w:pPr>
        <w:pStyle w:val="null3"/>
        <w:ind w:firstLine="420"/>
        <w:jc w:val="both"/>
      </w:pPr>
      <w:r>
        <w:rPr>
          <w:sz w:val="21"/>
        </w:rPr>
        <w:t>（</w:t>
      </w:r>
      <w:r>
        <w:rPr>
          <w:sz w:val="21"/>
        </w:rPr>
        <w:t>2）国务院令第393号《建设工程安全生产管理条例》；</w:t>
      </w:r>
    </w:p>
    <w:p>
      <w:pPr>
        <w:pStyle w:val="null3"/>
        <w:ind w:firstLine="420"/>
        <w:jc w:val="both"/>
      </w:pPr>
      <w:r>
        <w:rPr>
          <w:sz w:val="21"/>
        </w:rPr>
        <w:t>（</w:t>
      </w:r>
      <w:r>
        <w:rPr>
          <w:sz w:val="21"/>
        </w:rPr>
        <w:t>3）国务院279号令《建设工程质量管理条例》;</w:t>
      </w:r>
    </w:p>
    <w:p>
      <w:pPr>
        <w:pStyle w:val="null3"/>
        <w:ind w:firstLine="420"/>
        <w:jc w:val="both"/>
      </w:pPr>
      <w:r>
        <w:rPr>
          <w:sz w:val="21"/>
        </w:rPr>
        <w:t>（</w:t>
      </w:r>
      <w:r>
        <w:rPr>
          <w:sz w:val="21"/>
        </w:rPr>
        <w:t>4）工信部【2018】47号《通信建设工程质量监督管理规定》</w:t>
      </w:r>
    </w:p>
    <w:p>
      <w:pPr>
        <w:pStyle w:val="null3"/>
        <w:ind w:firstLine="420"/>
        <w:jc w:val="both"/>
      </w:pPr>
      <w:r>
        <w:rPr>
          <w:sz w:val="21"/>
        </w:rPr>
        <w:t>（</w:t>
      </w:r>
      <w:r>
        <w:rPr>
          <w:sz w:val="21"/>
        </w:rPr>
        <w:t>5）厂家及采购人提供的相关数据；</w:t>
      </w:r>
    </w:p>
    <w:p>
      <w:pPr>
        <w:pStyle w:val="null3"/>
        <w:ind w:firstLine="420"/>
        <w:jc w:val="both"/>
      </w:pPr>
      <w:r>
        <w:rPr>
          <w:sz w:val="21"/>
        </w:rPr>
        <w:t>（</w:t>
      </w:r>
      <w:r>
        <w:rPr>
          <w:sz w:val="21"/>
        </w:rPr>
        <w:t>6）设计人员赴现场勘察收集的有关资料。</w:t>
      </w:r>
    </w:p>
    <w:p>
      <w:pPr>
        <w:pStyle w:val="null3"/>
        <w:ind w:firstLine="422"/>
        <w:jc w:val="both"/>
      </w:pPr>
      <w:r>
        <w:rPr>
          <w:sz w:val="21"/>
          <w:b/>
        </w:rPr>
        <w:t>1.3.建设原则</w:t>
      </w:r>
    </w:p>
    <w:p>
      <w:pPr>
        <w:pStyle w:val="null3"/>
        <w:ind w:firstLine="420"/>
        <w:jc w:val="both"/>
      </w:pPr>
      <w:r>
        <w:rPr>
          <w:sz w:val="21"/>
        </w:rPr>
        <w:t>本</w:t>
      </w:r>
      <w:r>
        <w:rPr>
          <w:sz w:val="21"/>
        </w:rPr>
        <w:t>系统</w:t>
      </w:r>
      <w:r>
        <w:rPr>
          <w:sz w:val="21"/>
        </w:rPr>
        <w:t>的建设应</w:t>
      </w:r>
      <w:r>
        <w:rPr>
          <w:sz w:val="21"/>
        </w:rPr>
        <w:t>坚持</w:t>
      </w:r>
      <w:r>
        <w:rPr>
          <w:sz w:val="21"/>
        </w:rPr>
        <w:t>“</w:t>
      </w:r>
      <w:r>
        <w:rPr>
          <w:sz w:val="21"/>
        </w:rPr>
        <w:t>，使用上实用性，经济上合理性</w:t>
      </w:r>
      <w:r>
        <w:rPr>
          <w:sz w:val="21"/>
        </w:rPr>
        <w:t>”</w:t>
      </w:r>
      <w:r>
        <w:rPr>
          <w:sz w:val="21"/>
        </w:rPr>
        <w:t>的原则。系统在具有综合性、实用性、可行性、安全性</w:t>
      </w:r>
      <w:r>
        <w:rPr>
          <w:sz w:val="21"/>
        </w:rPr>
        <w:t>、</w:t>
      </w:r>
      <w:r>
        <w:rPr>
          <w:sz w:val="21"/>
        </w:rPr>
        <w:t>可靠性、标准性</w:t>
      </w:r>
      <w:r>
        <w:rPr>
          <w:sz w:val="21"/>
        </w:rPr>
        <w:t>等</w:t>
      </w:r>
      <w:r>
        <w:rPr>
          <w:sz w:val="21"/>
        </w:rPr>
        <w:t>的同时，具有良好的升级、扩展能力。</w:t>
      </w:r>
    </w:p>
    <w:p>
      <w:pPr>
        <w:pStyle w:val="null3"/>
        <w:ind w:firstLine="420"/>
      </w:pPr>
      <w:r>
        <w:rPr>
          <w:sz w:val="21"/>
        </w:rPr>
        <w:t>综合性：</w:t>
      </w:r>
      <w:r>
        <w:rPr>
          <w:sz w:val="21"/>
        </w:rPr>
        <w:t>严格以系统工程学及其它先进理论为指导，按照《中山市道路交通技术监控系统建设技术和程序要求》，将车辆监测记录、卡口、测速统计等系统有机地结合在一起，使系统的各部分合理配置，充分发挥硬件设备和软件功能的潜力，做到少投入、少安装、高效率、高收益，最大限度地提高系统性能价格比。</w:t>
      </w:r>
    </w:p>
    <w:p>
      <w:pPr>
        <w:pStyle w:val="null3"/>
        <w:ind w:firstLine="420"/>
      </w:pPr>
      <w:r>
        <w:rPr>
          <w:sz w:val="21"/>
        </w:rPr>
        <w:t>实用性：</w:t>
      </w:r>
      <w:r>
        <w:rPr>
          <w:sz w:val="21"/>
        </w:rPr>
        <w:t>系统功能充分满足用户的实际需求，人机界面友好，易于使用、管理、维护和扩展。</w:t>
      </w:r>
    </w:p>
    <w:p>
      <w:pPr>
        <w:pStyle w:val="null3"/>
        <w:ind w:firstLine="420"/>
      </w:pPr>
      <w:r>
        <w:rPr>
          <w:sz w:val="21"/>
        </w:rPr>
        <w:t>可行性：</w:t>
      </w:r>
      <w:r>
        <w:rPr>
          <w:sz w:val="21"/>
        </w:rPr>
        <w:t>系统设计、选材、选型符合国家和地方政府的法规政策，与用户及上级管理部门的管理制度相适应，与用户在经济能力方面的实际情况相吻合。</w:t>
      </w:r>
    </w:p>
    <w:p>
      <w:pPr>
        <w:pStyle w:val="null3"/>
        <w:ind w:firstLine="420"/>
      </w:pPr>
      <w:r>
        <w:rPr>
          <w:sz w:val="21"/>
        </w:rPr>
        <w:t>可靠性：</w:t>
      </w:r>
      <w:r>
        <w:rPr>
          <w:sz w:val="21"/>
        </w:rPr>
        <w:t>系统应采用高集成设备，采用自动监控和容错等技术来保证可靠性，设计、施工及调试等环节都将严格贯彻质量标准，确保系统能够长期稳定、可靠安全地运行。</w:t>
      </w:r>
    </w:p>
    <w:p>
      <w:pPr>
        <w:pStyle w:val="null3"/>
        <w:ind w:firstLine="420"/>
      </w:pPr>
      <w:r>
        <w:rPr>
          <w:sz w:val="21"/>
        </w:rPr>
        <w:t>安全性：</w:t>
      </w:r>
      <w:r>
        <w:rPr>
          <w:sz w:val="21"/>
        </w:rPr>
        <w:t>系统具有防病毒，防误操作特性，有较强的抗干扰、抗静电能力，同时提供数据备份、恢复功能。系统要提供用户等级权限保护，有效排除人为因素的干扰。</w:t>
      </w:r>
    </w:p>
    <w:p>
      <w:pPr>
        <w:pStyle w:val="null3"/>
        <w:ind w:firstLine="420"/>
      </w:pPr>
      <w:r>
        <w:rPr>
          <w:sz w:val="21"/>
        </w:rPr>
        <w:t>标准性：</w:t>
      </w:r>
      <w:r>
        <w:rPr>
          <w:sz w:val="21"/>
        </w:rPr>
        <w:t>系统设计时，所采用的技术手段遵循相关标准，要提供通用标准接口，系统网络结构易于扩充，以适应今后的较大任务负载，使系统具有良好的互联、互控及升级能力，遵循最新的国际标准、国家标准和行业标准，遵循开放的原则。</w:t>
      </w:r>
    </w:p>
    <w:p>
      <w:pPr>
        <w:pStyle w:val="null3"/>
        <w:ind w:firstLine="420"/>
      </w:pPr>
      <w:r>
        <w:rPr>
          <w:sz w:val="21"/>
        </w:rPr>
        <w:t>可扩展性：</w:t>
      </w:r>
      <w:r>
        <w:rPr>
          <w:sz w:val="21"/>
        </w:rPr>
        <w:t>系统功能充分满足实际需求，易于管理、维护、扩展。系统网络结构易于扩充，以适应今后的较大任务负载；硬件平台可升级，当需要时可以通过新的设备同原有设备一起工作以提高系统的处理能力，从而减少重复建设。</w:t>
      </w:r>
    </w:p>
    <w:p>
      <w:pPr>
        <w:pStyle w:val="null3"/>
        <w:spacing w:before="120"/>
        <w:ind w:left="570"/>
        <w:jc w:val="both"/>
        <w:outlineLvl w:val="1"/>
      </w:pPr>
      <w:r>
        <w:rPr>
          <w:sz w:val="21"/>
          <w:b/>
        </w:rPr>
        <w:t>1.4.建设目标</w:t>
      </w:r>
    </w:p>
    <w:p>
      <w:pPr>
        <w:pStyle w:val="null3"/>
        <w:ind w:left="705"/>
        <w:jc w:val="both"/>
        <w:outlineLvl w:val="2"/>
      </w:pPr>
      <w:r>
        <w:rPr>
          <w:sz w:val="21"/>
          <w:b/>
        </w:rPr>
        <w:t>1.4.1.</w:t>
      </w:r>
      <w:r>
        <w:rPr>
          <w:sz w:val="21"/>
          <w:b/>
        </w:rPr>
        <w:t>降低交通事故率</w:t>
      </w:r>
    </w:p>
    <w:p>
      <w:pPr>
        <w:pStyle w:val="null3"/>
        <w:ind w:firstLine="420"/>
        <w:jc w:val="both"/>
      </w:pPr>
      <w:r>
        <w:rPr>
          <w:sz w:val="21"/>
        </w:rPr>
        <w:t>通过建设电子警察系统，对交通违法行为进行抓拍处罚，威慑司机的违法行为，降低交通事故发生率。</w:t>
      </w:r>
    </w:p>
    <w:p>
      <w:pPr>
        <w:pStyle w:val="null3"/>
        <w:ind w:left="705"/>
        <w:jc w:val="both"/>
        <w:outlineLvl w:val="2"/>
      </w:pPr>
      <w:r>
        <w:rPr>
          <w:sz w:val="21"/>
          <w:b/>
        </w:rPr>
        <w:t>1.4.2.</w:t>
      </w:r>
      <w:r>
        <w:rPr>
          <w:sz w:val="21"/>
          <w:b/>
        </w:rPr>
        <w:t>提高应急指挥水平</w:t>
      </w:r>
    </w:p>
    <w:p>
      <w:pPr>
        <w:pStyle w:val="null3"/>
        <w:ind w:firstLine="420"/>
        <w:jc w:val="both"/>
      </w:pPr>
      <w:r>
        <w:rPr>
          <w:sz w:val="21"/>
        </w:rPr>
        <w:t>通过建设指挥调度体系，对路网交通事件可以快速发现，对路网运行状态可以实时查看，合理调度警力资源及物资，为实现指挥调度可视化、领导决策科学化提供依据，极大提高突发事件的应急反应能力。</w:t>
      </w:r>
    </w:p>
    <w:p>
      <w:pPr>
        <w:pStyle w:val="null3"/>
        <w:ind w:left="705"/>
        <w:jc w:val="both"/>
        <w:outlineLvl w:val="2"/>
      </w:pPr>
      <w:r>
        <w:rPr>
          <w:sz w:val="21"/>
          <w:b/>
        </w:rPr>
        <w:t>1.4.3.</w:t>
      </w:r>
      <w:r>
        <w:rPr>
          <w:sz w:val="21"/>
          <w:b/>
        </w:rPr>
        <w:t>提高业务平台的实战能力</w:t>
      </w:r>
    </w:p>
    <w:p>
      <w:pPr>
        <w:pStyle w:val="null3"/>
        <w:ind w:firstLine="420"/>
        <w:jc w:val="both"/>
      </w:pPr>
      <w:r>
        <w:rPr>
          <w:sz w:val="21"/>
        </w:rPr>
        <w:t>在当前的道路状况及交通条件下，交警不可能完全设定未来的路况、事故或突发事件的</w:t>
      </w:r>
      <w:r>
        <w:rPr>
          <w:sz w:val="21"/>
        </w:rPr>
        <w:t>“</w:t>
      </w:r>
      <w:r>
        <w:rPr>
          <w:sz w:val="21"/>
        </w:rPr>
        <w:t>类型</w:t>
      </w:r>
      <w:r>
        <w:rPr>
          <w:sz w:val="21"/>
        </w:rPr>
        <w:t>”</w:t>
      </w:r>
      <w:r>
        <w:rPr>
          <w:sz w:val="21"/>
        </w:rPr>
        <w:t>，以及它们的信息处理要求和怎样的事件处理业务流程编排。在建设专业化交警信息处理系统的前提下，交警综合业务平台的意义之一，就是要为决策者提供一个便利的、交互式的操作平台，来迅速、动态地识别事件类型，并构造针对特定事件的信息处理和调度系统，进行动态业务流程编排。同时为各警种警务工作提供路面数据支撑，确保资料数据的共享，实现共同维护路面安全的目的。</w:t>
      </w:r>
    </w:p>
    <w:p>
      <w:pPr>
        <w:pStyle w:val="null3"/>
        <w:ind w:left="705"/>
        <w:jc w:val="both"/>
        <w:outlineLvl w:val="2"/>
      </w:pPr>
      <w:r>
        <w:rPr>
          <w:sz w:val="21"/>
          <w:b/>
        </w:rPr>
        <w:t>1.4.4.</w:t>
      </w:r>
      <w:r>
        <w:rPr>
          <w:sz w:val="21"/>
          <w:b/>
        </w:rPr>
        <w:t>打破信息孤岛现象</w:t>
      </w:r>
    </w:p>
    <w:p>
      <w:pPr>
        <w:pStyle w:val="null3"/>
        <w:ind w:firstLine="420"/>
        <w:jc w:val="both"/>
      </w:pPr>
      <w:r>
        <w:rPr>
          <w:sz w:val="21"/>
        </w:rPr>
        <w:t>根据《广东省公共安全视频监控系统建设</w:t>
      </w:r>
      <w:r>
        <w:rPr>
          <w:sz w:val="21"/>
        </w:rPr>
        <w:t>“十三五”规划》相关内容：市级相关单位公共安全视频图像资源应通过视频专网接入同级公安机关的要求，本期工程将打破原有平台的信息孤岛现象。实现把民众街道道路监控系统的前端摄像机所产生的车辆通行信息接入中山市公安局视频云，视频数据接入分局的报警监控共享平台。</w:t>
      </w:r>
    </w:p>
    <w:p>
      <w:pPr>
        <w:pStyle w:val="null3"/>
        <w:ind w:firstLine="420"/>
        <w:jc w:val="both"/>
      </w:pPr>
      <w:r>
        <w:rPr>
          <w:sz w:val="21"/>
        </w:rPr>
        <w:t>采用信号系统提供的本地遥控控制、中心手动控制、快速警卫任务等功能，提高工作效率，减少交警现场工作量，节省警力。</w:t>
      </w:r>
    </w:p>
    <w:p>
      <w:pPr>
        <w:pStyle w:val="null3"/>
        <w:ind w:firstLine="420"/>
        <w:jc w:val="both"/>
      </w:pPr>
      <w:r>
        <w:rPr>
          <w:sz w:val="21"/>
        </w:rPr>
        <w:t>信号控制系统可提供中心手动控制、本地手动及遥控手动功能，交警可在中心进行远程或在路口进行远程指挥，不需要进行路面的现场指挥，减少交警的人身安全问题。提供交通疏导预案控制，保证警务车队准时、安全到达目的地，同时尽量减少对社会车辆的影响。提供专用的、合理的行人相位及相序设置，消除人车之间的交通冲突、行人过街的安全隐患，保障行人交通的人身安全。</w:t>
      </w:r>
    </w:p>
    <w:p>
      <w:pPr>
        <w:pStyle w:val="null3"/>
        <w:spacing w:before="120"/>
        <w:ind w:left="570"/>
        <w:jc w:val="both"/>
        <w:outlineLvl w:val="1"/>
      </w:pPr>
      <w:r>
        <w:rPr>
          <w:sz w:val="21"/>
          <w:b/>
        </w:rPr>
        <w:t>1.5.项目合理使用年限</w:t>
      </w:r>
    </w:p>
    <w:p>
      <w:pPr>
        <w:pStyle w:val="null3"/>
        <w:ind w:firstLine="420"/>
        <w:jc w:val="both"/>
      </w:pPr>
      <w:r>
        <w:rPr>
          <w:sz w:val="21"/>
        </w:rPr>
        <w:t>设计使用年限是设计规定的一个时期，在这一时期内，正常维修就能完成预定功能。本项目相关系统建设在正常设计、正常使用和维护下所应达到的使用年限为</w:t>
      </w:r>
      <w:r>
        <w:rPr>
          <w:sz w:val="21"/>
        </w:rPr>
        <w:t>6年。</w:t>
      </w:r>
    </w:p>
    <w:p>
      <w:pPr>
        <w:pStyle w:val="null3"/>
        <w:ind w:firstLine="422"/>
        <w:jc w:val="both"/>
      </w:pPr>
      <w:r>
        <w:rPr>
          <w:sz w:val="21"/>
          <w:b/>
        </w:rPr>
        <w:t>2..建设现况及需求分析</w:t>
      </w:r>
    </w:p>
    <w:p>
      <w:pPr>
        <w:pStyle w:val="null3"/>
        <w:ind w:firstLine="422"/>
        <w:jc w:val="both"/>
      </w:pPr>
      <w:r>
        <w:rPr>
          <w:sz w:val="21"/>
          <w:b/>
        </w:rPr>
        <w:t>2.1.民众街道交通现状分析</w:t>
      </w:r>
    </w:p>
    <w:p>
      <w:pPr>
        <w:pStyle w:val="null3"/>
        <w:ind w:firstLine="422"/>
        <w:jc w:val="both"/>
      </w:pPr>
      <w:r>
        <w:rPr>
          <w:sz w:val="21"/>
          <w:b/>
        </w:rPr>
        <w:t>2.1.1.民众街道路口及机房现况</w:t>
      </w:r>
    </w:p>
    <w:p>
      <w:pPr>
        <w:pStyle w:val="null3"/>
        <w:ind w:firstLine="422"/>
        <w:jc w:val="both"/>
      </w:pPr>
      <w:r>
        <w:rPr>
          <w:sz w:val="21"/>
          <w:b/>
        </w:rPr>
        <w:t>2.1.1.</w:t>
      </w:r>
      <w:r>
        <w:rPr>
          <w:sz w:val="21"/>
          <w:b/>
        </w:rPr>
        <w:t>1</w:t>
      </w:r>
      <w:r>
        <w:rPr>
          <w:sz w:val="21"/>
          <w:b/>
        </w:rPr>
        <w:t>.</w:t>
      </w:r>
      <w:r>
        <w:rPr>
          <w:sz w:val="21"/>
          <w:b/>
        </w:rPr>
        <w:t>前端路口现状</w:t>
      </w:r>
    </w:p>
    <w:p>
      <w:pPr>
        <w:pStyle w:val="null3"/>
        <w:ind w:firstLine="422"/>
        <w:jc w:val="both"/>
      </w:pPr>
      <w:r>
        <w:rPr>
          <w:sz w:val="21"/>
        </w:rPr>
        <w:t>民众街道政府现阶段已完成建设多个路口</w:t>
      </w:r>
      <w:r>
        <w:rPr>
          <w:sz w:val="21"/>
        </w:rPr>
        <w:t>/路段多功能闯红灯自动记录系统和测速系统。</w:t>
      </w:r>
    </w:p>
    <w:p>
      <w:pPr>
        <w:pStyle w:val="null3"/>
        <w:ind w:firstLine="422"/>
        <w:jc w:val="both"/>
      </w:pPr>
      <w:r>
        <w:rPr>
          <w:sz w:val="21"/>
        </w:rPr>
        <w:t>具体路口包括：</w:t>
      </w:r>
    </w:p>
    <w:p>
      <w:pPr>
        <w:pStyle w:val="null3"/>
        <w:jc w:val="center"/>
      </w:pPr>
      <w:r>
        <w:rPr>
          <w:sz w:val="21"/>
        </w:rPr>
        <w:t>表</w:t>
      </w:r>
      <w:r>
        <w:rPr>
          <w:sz w:val="21"/>
        </w:rPr>
        <w:t xml:space="preserve">2.1-1 </w:t>
      </w:r>
      <w:r>
        <w:rPr>
          <w:sz w:val="21"/>
        </w:rPr>
        <w:t>已建前端监控点闯红灯自动记录系统功能路口</w:t>
      </w:r>
    </w:p>
    <w:tbl>
      <w:tblPr>
        <w:tblW w:w="0" w:type="auto"/>
        <w:tblBorders>
          <w:top w:val="none" w:color="000000" w:sz="4"/>
          <w:left w:val="none" w:color="000000" w:sz="4"/>
          <w:bottom w:val="none" w:color="000000" w:sz="4"/>
          <w:right w:val="none" w:color="000000" w:sz="4"/>
          <w:insideH w:val="none"/>
          <w:insideV w:val="none"/>
        </w:tblBorders>
      </w:tblPr>
      <w:tblGrid>
        <w:gridCol w:w="2078"/>
        <w:gridCol w:w="2709"/>
        <w:gridCol w:w="2284"/>
        <w:gridCol w:w="1234"/>
      </w:tblGrid>
      <w:tr>
        <w:tc>
          <w:tcPr>
            <w:tcW w:type="dxa" w:w="207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路口名称</w:t>
            </w:r>
          </w:p>
        </w:tc>
        <w:tc>
          <w:tcPr>
            <w:tcW w:type="dxa" w:w="270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设备类型</w:t>
            </w:r>
          </w:p>
        </w:tc>
        <w:tc>
          <w:tcPr>
            <w:tcW w:type="dxa" w:w="228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方向</w:t>
            </w:r>
          </w:p>
        </w:tc>
        <w:tc>
          <w:tcPr>
            <w:tcW w:type="dxa" w:w="123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备注</w:t>
            </w:r>
          </w:p>
        </w:tc>
      </w:tr>
      <w:tr>
        <w:tc>
          <w:tcPr>
            <w:tcW w:type="dxa" w:w="2078"/>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红卫路口</w:t>
            </w:r>
          </w:p>
        </w:tc>
        <w:tc>
          <w:tcPr>
            <w:tcW w:type="dxa" w:w="2709"/>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闯红灯设备</w:t>
            </w:r>
          </w:p>
        </w:tc>
        <w:tc>
          <w:tcPr>
            <w:tcW w:type="dxa" w:w="22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由西往东</w:t>
            </w:r>
          </w:p>
        </w:tc>
        <w:tc>
          <w:tcPr>
            <w:tcW w:type="dxa" w:w="1234"/>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078"/>
            <w:vMerge/>
            <w:tcBorders>
              <w:top w:val="none" w:color="000000" w:sz="4"/>
              <w:left w:val="single" w:color="000000" w:sz="4"/>
              <w:bottom w:val="single" w:color="000000" w:sz="4"/>
              <w:right w:val="single" w:color="000000" w:sz="4"/>
            </w:tcBorders>
          </w:tcPr>
          <w:p/>
        </w:tc>
        <w:tc>
          <w:tcPr>
            <w:tcW w:type="dxa" w:w="2709"/>
            <w:vMerge/>
            <w:tcBorders>
              <w:top w:val="none" w:color="000000" w:sz="4"/>
              <w:left w:val="single" w:color="000000" w:sz="4"/>
              <w:bottom w:val="single" w:color="000000" w:sz="4"/>
              <w:right w:val="single" w:color="000000" w:sz="4"/>
            </w:tcBorders>
          </w:tcPr>
          <w:p/>
        </w:tc>
        <w:tc>
          <w:tcPr>
            <w:tcW w:type="dxa" w:w="22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由东往西</w:t>
            </w:r>
          </w:p>
        </w:tc>
        <w:tc>
          <w:tcPr>
            <w:tcW w:type="dxa" w:w="1234"/>
            <w:vMerge/>
            <w:tcBorders>
              <w:top w:val="none" w:color="000000" w:sz="4"/>
              <w:left w:val="single" w:color="000000" w:sz="4"/>
              <w:bottom w:val="single" w:color="000000" w:sz="4"/>
              <w:right w:val="single" w:color="000000" w:sz="4"/>
            </w:tcBorders>
          </w:tcPr>
          <w:p/>
        </w:tc>
      </w:tr>
      <w:tr>
        <w:tc>
          <w:tcPr>
            <w:tcW w:type="dxa" w:w="2078"/>
            <w:vMerge/>
            <w:tcBorders>
              <w:top w:val="none" w:color="000000" w:sz="4"/>
              <w:left w:val="single" w:color="000000" w:sz="4"/>
              <w:bottom w:val="single" w:color="000000" w:sz="4"/>
              <w:right w:val="single" w:color="000000" w:sz="4"/>
            </w:tcBorders>
          </w:tcPr>
          <w:p/>
        </w:tc>
        <w:tc>
          <w:tcPr>
            <w:tcW w:type="dxa" w:w="2709"/>
            <w:vMerge/>
            <w:tcBorders>
              <w:top w:val="none" w:color="000000" w:sz="4"/>
              <w:left w:val="single" w:color="000000" w:sz="4"/>
              <w:bottom w:val="single" w:color="000000" w:sz="4"/>
              <w:right w:val="single" w:color="000000" w:sz="4"/>
            </w:tcBorders>
          </w:tcPr>
          <w:p/>
        </w:tc>
        <w:tc>
          <w:tcPr>
            <w:tcW w:type="dxa" w:w="22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由南向北</w:t>
            </w:r>
          </w:p>
        </w:tc>
        <w:tc>
          <w:tcPr>
            <w:tcW w:type="dxa" w:w="1234"/>
            <w:vMerge/>
            <w:tcBorders>
              <w:top w:val="none" w:color="000000" w:sz="4"/>
              <w:left w:val="single" w:color="000000" w:sz="4"/>
              <w:bottom w:val="single" w:color="000000" w:sz="4"/>
              <w:right w:val="single" w:color="000000" w:sz="4"/>
            </w:tcBorders>
          </w:tcPr>
          <w:p/>
        </w:tc>
      </w:tr>
      <w:tr>
        <w:tc>
          <w:tcPr>
            <w:tcW w:type="dxa" w:w="2078"/>
            <w:vMerge/>
            <w:tcBorders>
              <w:top w:val="none" w:color="000000" w:sz="4"/>
              <w:left w:val="single" w:color="000000" w:sz="4"/>
              <w:bottom w:val="single" w:color="000000" w:sz="4"/>
              <w:right w:val="single" w:color="000000" w:sz="4"/>
            </w:tcBorders>
          </w:tcPr>
          <w:p/>
        </w:tc>
        <w:tc>
          <w:tcPr>
            <w:tcW w:type="dxa" w:w="2709"/>
            <w:vMerge/>
            <w:tcBorders>
              <w:top w:val="none" w:color="000000" w:sz="4"/>
              <w:left w:val="single" w:color="000000" w:sz="4"/>
              <w:bottom w:val="single" w:color="000000" w:sz="4"/>
              <w:right w:val="single" w:color="000000" w:sz="4"/>
            </w:tcBorders>
          </w:tcPr>
          <w:p/>
        </w:tc>
        <w:tc>
          <w:tcPr>
            <w:tcW w:type="dxa" w:w="22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由北向南</w:t>
            </w:r>
          </w:p>
        </w:tc>
        <w:tc>
          <w:tcPr>
            <w:tcW w:type="dxa" w:w="1234"/>
            <w:vMerge/>
            <w:tcBorders>
              <w:top w:val="none" w:color="000000" w:sz="4"/>
              <w:left w:val="single" w:color="000000" w:sz="4"/>
              <w:bottom w:val="single" w:color="000000" w:sz="4"/>
              <w:right w:val="single" w:color="000000" w:sz="4"/>
            </w:tcBorders>
          </w:tcPr>
          <w:p/>
        </w:tc>
      </w:tr>
      <w:tr>
        <w:tc>
          <w:tcPr>
            <w:tcW w:type="dxa" w:w="2078"/>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人民路口</w:t>
            </w:r>
          </w:p>
        </w:tc>
        <w:tc>
          <w:tcPr>
            <w:tcW w:type="dxa" w:w="2709"/>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闯红灯设备</w:t>
            </w:r>
          </w:p>
        </w:tc>
        <w:tc>
          <w:tcPr>
            <w:tcW w:type="dxa" w:w="22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由南向北</w:t>
            </w:r>
          </w:p>
        </w:tc>
        <w:tc>
          <w:tcPr>
            <w:tcW w:type="dxa" w:w="1234"/>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078"/>
            <w:vMerge/>
            <w:tcBorders>
              <w:top w:val="none" w:color="000000" w:sz="4"/>
              <w:left w:val="single" w:color="000000" w:sz="4"/>
              <w:bottom w:val="single" w:color="000000" w:sz="4"/>
              <w:right w:val="single" w:color="000000" w:sz="4"/>
            </w:tcBorders>
          </w:tcPr>
          <w:p/>
        </w:tc>
        <w:tc>
          <w:tcPr>
            <w:tcW w:type="dxa" w:w="2709"/>
            <w:vMerge/>
            <w:tcBorders>
              <w:top w:val="none" w:color="000000" w:sz="4"/>
              <w:left w:val="single" w:color="000000" w:sz="4"/>
              <w:bottom w:val="single" w:color="000000" w:sz="4"/>
              <w:right w:val="single" w:color="000000" w:sz="4"/>
            </w:tcBorders>
          </w:tcPr>
          <w:p/>
        </w:tc>
        <w:tc>
          <w:tcPr>
            <w:tcW w:type="dxa" w:w="22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由东往西</w:t>
            </w:r>
          </w:p>
        </w:tc>
        <w:tc>
          <w:tcPr>
            <w:tcW w:type="dxa" w:w="1234"/>
            <w:vMerge/>
            <w:tcBorders>
              <w:top w:val="none" w:color="000000" w:sz="4"/>
              <w:left w:val="single" w:color="000000" w:sz="4"/>
              <w:bottom w:val="single" w:color="000000" w:sz="4"/>
              <w:right w:val="single" w:color="000000" w:sz="4"/>
            </w:tcBorders>
          </w:tcPr>
          <w:p/>
        </w:tc>
      </w:tr>
      <w:tr>
        <w:tc>
          <w:tcPr>
            <w:tcW w:type="dxa" w:w="2078"/>
            <w:vMerge/>
            <w:tcBorders>
              <w:top w:val="none" w:color="000000" w:sz="4"/>
              <w:left w:val="single" w:color="000000" w:sz="4"/>
              <w:bottom w:val="single" w:color="000000" w:sz="4"/>
              <w:right w:val="single" w:color="000000" w:sz="4"/>
            </w:tcBorders>
          </w:tcPr>
          <w:p/>
        </w:tc>
        <w:tc>
          <w:tcPr>
            <w:tcW w:type="dxa" w:w="2709"/>
            <w:vMerge/>
            <w:tcBorders>
              <w:top w:val="none" w:color="000000" w:sz="4"/>
              <w:left w:val="single" w:color="000000" w:sz="4"/>
              <w:bottom w:val="single" w:color="000000" w:sz="4"/>
              <w:right w:val="single" w:color="000000" w:sz="4"/>
            </w:tcBorders>
          </w:tcPr>
          <w:p/>
        </w:tc>
        <w:tc>
          <w:tcPr>
            <w:tcW w:type="dxa" w:w="22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由西往东</w:t>
            </w:r>
          </w:p>
        </w:tc>
        <w:tc>
          <w:tcPr>
            <w:tcW w:type="dxa" w:w="1234"/>
            <w:vMerge/>
            <w:tcBorders>
              <w:top w:val="none" w:color="000000" w:sz="4"/>
              <w:left w:val="single" w:color="000000" w:sz="4"/>
              <w:bottom w:val="single" w:color="000000" w:sz="4"/>
              <w:right w:val="single" w:color="000000" w:sz="4"/>
            </w:tcBorders>
          </w:tcPr>
          <w:p/>
        </w:tc>
      </w:tr>
      <w:tr>
        <w:tc>
          <w:tcPr>
            <w:tcW w:type="dxa" w:w="2078"/>
            <w:vMerge/>
            <w:tcBorders>
              <w:top w:val="none" w:color="000000" w:sz="4"/>
              <w:left w:val="single" w:color="000000" w:sz="4"/>
              <w:bottom w:val="single" w:color="000000" w:sz="4"/>
              <w:right w:val="single" w:color="000000" w:sz="4"/>
            </w:tcBorders>
          </w:tcPr>
          <w:p/>
        </w:tc>
        <w:tc>
          <w:tcPr>
            <w:tcW w:type="dxa" w:w="2709"/>
            <w:vMerge/>
            <w:tcBorders>
              <w:top w:val="none" w:color="000000" w:sz="4"/>
              <w:left w:val="single" w:color="000000" w:sz="4"/>
              <w:bottom w:val="single" w:color="000000" w:sz="4"/>
              <w:right w:val="single" w:color="000000" w:sz="4"/>
            </w:tcBorders>
          </w:tcPr>
          <w:p/>
        </w:tc>
        <w:tc>
          <w:tcPr>
            <w:tcW w:type="dxa" w:w="22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由北向南</w:t>
            </w:r>
          </w:p>
        </w:tc>
        <w:tc>
          <w:tcPr>
            <w:tcW w:type="dxa" w:w="1234"/>
            <w:vMerge/>
            <w:tcBorders>
              <w:top w:val="none" w:color="000000" w:sz="4"/>
              <w:left w:val="single" w:color="000000" w:sz="4"/>
              <w:bottom w:val="single" w:color="000000" w:sz="4"/>
              <w:right w:val="single" w:color="000000" w:sz="4"/>
            </w:tcBorders>
          </w:tcPr>
          <w:p/>
        </w:tc>
      </w:tr>
    </w:tbl>
    <w:p>
      <w:pPr>
        <w:pStyle w:val="null3"/>
        <w:jc w:val="center"/>
      </w:pPr>
      <w:r>
        <w:rPr>
          <w:sz w:val="21"/>
        </w:rPr>
        <w:t>表</w:t>
      </w:r>
      <w:r>
        <w:rPr>
          <w:sz w:val="21"/>
        </w:rPr>
        <w:t>2.1-</w:t>
      </w:r>
      <w:r>
        <w:rPr>
          <w:sz w:val="21"/>
        </w:rPr>
        <w:t>2</w:t>
      </w:r>
      <w:r>
        <w:rPr/>
        <w:t xml:space="preserve"> </w:t>
      </w:r>
      <w:r>
        <w:rPr>
          <w:sz w:val="21"/>
        </w:rPr>
        <w:t>已建前端监控点测速系统功能路段</w:t>
      </w:r>
    </w:p>
    <w:tbl>
      <w:tblPr>
        <w:tblW w:w="0" w:type="auto"/>
        <w:tblBorders>
          <w:top w:val="none" w:color="000000" w:sz="4"/>
          <w:left w:val="none" w:color="000000" w:sz="4"/>
          <w:bottom w:val="none" w:color="000000" w:sz="4"/>
          <w:right w:val="none" w:color="000000" w:sz="4"/>
          <w:insideH w:val="none"/>
          <w:insideV w:val="none"/>
        </w:tblBorders>
      </w:tblPr>
      <w:tblGrid>
        <w:gridCol w:w="2077"/>
        <w:gridCol w:w="2711"/>
        <w:gridCol w:w="2285"/>
        <w:gridCol w:w="1233"/>
      </w:tblGrid>
      <w:tr>
        <w:tc>
          <w:tcPr>
            <w:tcW w:type="dxa" w:w="207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路口名称</w:t>
            </w:r>
          </w:p>
        </w:tc>
        <w:tc>
          <w:tcPr>
            <w:tcW w:type="dxa" w:w="271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设备类型</w:t>
            </w:r>
          </w:p>
        </w:tc>
        <w:tc>
          <w:tcPr>
            <w:tcW w:type="dxa" w:w="228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方向</w:t>
            </w:r>
          </w:p>
        </w:tc>
        <w:tc>
          <w:tcPr>
            <w:tcW w:type="dxa" w:w="123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备注</w:t>
            </w:r>
          </w:p>
        </w:tc>
      </w:tr>
      <w:tr>
        <w:tc>
          <w:tcPr>
            <w:tcW w:type="dxa" w:w="207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阳光大道京珠高速出入口西行段</w:t>
            </w:r>
          </w:p>
        </w:tc>
        <w:tc>
          <w:tcPr>
            <w:tcW w:type="dxa" w:w="271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测速设备</w:t>
            </w:r>
          </w:p>
        </w:tc>
        <w:tc>
          <w:tcPr>
            <w:tcW w:type="dxa" w:w="22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由南往北</w:t>
            </w:r>
          </w:p>
        </w:tc>
        <w:tc>
          <w:tcPr>
            <w:tcW w:type="dxa" w:w="1233"/>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2077"/>
            <w:vMerge/>
            <w:tcBorders>
              <w:top w:val="none" w:color="000000" w:sz="4"/>
              <w:left w:val="single" w:color="000000" w:sz="4"/>
              <w:bottom w:val="single" w:color="000000" w:sz="4"/>
              <w:right w:val="single" w:color="000000" w:sz="4"/>
            </w:tcBorders>
          </w:tcPr>
          <w:p/>
        </w:tc>
        <w:tc>
          <w:tcPr>
            <w:tcW w:type="dxa" w:w="2711"/>
            <w:vMerge/>
            <w:tcBorders>
              <w:top w:val="none" w:color="000000" w:sz="4"/>
              <w:left w:val="single" w:color="000000" w:sz="4"/>
              <w:bottom w:val="single" w:color="000000" w:sz="4"/>
              <w:right w:val="single" w:color="000000" w:sz="4"/>
            </w:tcBorders>
          </w:tcPr>
          <w:p/>
        </w:tc>
        <w:tc>
          <w:tcPr>
            <w:tcW w:type="dxa" w:w="22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由北往南</w:t>
            </w:r>
          </w:p>
        </w:tc>
        <w:tc>
          <w:tcPr>
            <w:tcW w:type="dxa" w:w="1233"/>
            <w:vMerge/>
            <w:tcBorders>
              <w:top w:val="none" w:color="000000" w:sz="4"/>
              <w:left w:val="single" w:color="000000" w:sz="4"/>
              <w:bottom w:val="single" w:color="000000" w:sz="4"/>
              <w:right w:val="single" w:color="000000" w:sz="4"/>
            </w:tcBorders>
          </w:tcPr>
          <w:p/>
        </w:tc>
      </w:tr>
      <w:tr>
        <w:tc>
          <w:tcPr>
            <w:tcW w:type="dxa" w:w="207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番中公路平三段北行</w:t>
            </w:r>
          </w:p>
        </w:tc>
        <w:tc>
          <w:tcPr>
            <w:tcW w:type="dxa" w:w="271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测速设备</w:t>
            </w:r>
          </w:p>
        </w:tc>
        <w:tc>
          <w:tcPr>
            <w:tcW w:type="dxa" w:w="22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由南往北</w:t>
            </w:r>
          </w:p>
        </w:tc>
        <w:tc>
          <w:tcPr>
            <w:tcW w:type="dxa" w:w="1233"/>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2077"/>
            <w:vMerge/>
            <w:tcBorders>
              <w:top w:val="none" w:color="000000" w:sz="4"/>
              <w:left w:val="single" w:color="000000" w:sz="4"/>
              <w:bottom w:val="single" w:color="000000" w:sz="4"/>
              <w:right w:val="single" w:color="000000" w:sz="4"/>
            </w:tcBorders>
          </w:tcPr>
          <w:p/>
        </w:tc>
        <w:tc>
          <w:tcPr>
            <w:tcW w:type="dxa" w:w="2711"/>
            <w:vMerge/>
            <w:tcBorders>
              <w:top w:val="none" w:color="000000" w:sz="4"/>
              <w:left w:val="single" w:color="000000" w:sz="4"/>
              <w:bottom w:val="single" w:color="000000" w:sz="4"/>
              <w:right w:val="single" w:color="000000" w:sz="4"/>
            </w:tcBorders>
          </w:tcPr>
          <w:p/>
        </w:tc>
        <w:tc>
          <w:tcPr>
            <w:tcW w:type="dxa" w:w="22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由北往南</w:t>
            </w:r>
          </w:p>
        </w:tc>
        <w:tc>
          <w:tcPr>
            <w:tcW w:type="dxa" w:w="1233"/>
            <w:vMerge/>
            <w:tcBorders>
              <w:top w:val="none" w:color="000000" w:sz="4"/>
              <w:left w:val="single" w:color="000000" w:sz="4"/>
              <w:bottom w:val="single" w:color="000000" w:sz="4"/>
              <w:right w:val="single" w:color="000000" w:sz="4"/>
            </w:tcBorders>
          </w:tcPr>
          <w:p/>
        </w:tc>
      </w:tr>
      <w:tr>
        <w:tc>
          <w:tcPr>
            <w:tcW w:type="dxa" w:w="207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番中公路多宝路段南行</w:t>
            </w:r>
          </w:p>
        </w:tc>
        <w:tc>
          <w:tcPr>
            <w:tcW w:type="dxa" w:w="2711"/>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测速设备</w:t>
            </w:r>
          </w:p>
        </w:tc>
        <w:tc>
          <w:tcPr>
            <w:tcW w:type="dxa" w:w="22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由东往西</w:t>
            </w:r>
          </w:p>
        </w:tc>
        <w:tc>
          <w:tcPr>
            <w:tcW w:type="dxa" w:w="1233"/>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2077"/>
            <w:vMerge/>
            <w:tcBorders>
              <w:top w:val="none" w:color="000000" w:sz="4"/>
              <w:left w:val="single" w:color="000000" w:sz="4"/>
              <w:bottom w:val="single" w:color="000000" w:sz="4"/>
              <w:right w:val="single" w:color="000000" w:sz="4"/>
            </w:tcBorders>
          </w:tcPr>
          <w:p/>
        </w:tc>
        <w:tc>
          <w:tcPr>
            <w:tcW w:type="dxa" w:w="2711"/>
            <w:vMerge/>
            <w:tcBorders>
              <w:top w:val="none" w:color="000000" w:sz="4"/>
              <w:left w:val="single" w:color="000000" w:sz="4"/>
              <w:bottom w:val="single" w:color="000000" w:sz="4"/>
              <w:right w:val="single" w:color="000000" w:sz="4"/>
            </w:tcBorders>
          </w:tcPr>
          <w:p/>
        </w:tc>
        <w:tc>
          <w:tcPr>
            <w:tcW w:type="dxa" w:w="228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由西往东</w:t>
            </w:r>
          </w:p>
        </w:tc>
        <w:tc>
          <w:tcPr>
            <w:tcW w:type="dxa" w:w="1233"/>
            <w:vMerge/>
            <w:tcBorders>
              <w:top w:val="none" w:color="000000" w:sz="4"/>
              <w:left w:val="single" w:color="000000" w:sz="4"/>
              <w:bottom w:val="single" w:color="000000" w:sz="4"/>
              <w:right w:val="single" w:color="000000" w:sz="4"/>
            </w:tcBorders>
          </w:tcPr>
          <w:p/>
        </w:tc>
      </w:tr>
    </w:tbl>
    <w:p>
      <w:pPr>
        <w:pStyle w:val="null3"/>
        <w:ind w:firstLine="420"/>
        <w:jc w:val="both"/>
      </w:pPr>
      <w:r>
        <w:rPr>
          <w:sz w:val="21"/>
        </w:rPr>
        <w:t>2.1.1.2.大队监控中心/机房现状</w:t>
      </w:r>
    </w:p>
    <w:p>
      <w:pPr>
        <w:pStyle w:val="null3"/>
        <w:ind w:firstLine="420"/>
        <w:jc w:val="both"/>
      </w:pPr>
      <w:r>
        <w:rPr>
          <w:sz w:val="21"/>
        </w:rPr>
        <w:t>（</w:t>
      </w:r>
      <w:r>
        <w:rPr>
          <w:sz w:val="21"/>
        </w:rPr>
        <w:t>1）大队机房现状</w:t>
      </w:r>
    </w:p>
    <w:p>
      <w:pPr>
        <w:pStyle w:val="null3"/>
        <w:ind w:firstLine="420"/>
        <w:jc w:val="both"/>
      </w:pPr>
      <w:r>
        <w:rPr>
          <w:sz w:val="21"/>
        </w:rPr>
        <w:t>现民众街道交警大队机房面积约</w:t>
      </w:r>
      <w:r>
        <w:rPr>
          <w:sz w:val="21"/>
        </w:rPr>
        <w:t>5</w:t>
      </w:r>
      <w:r>
        <w:rPr>
          <w:sz w:val="21"/>
        </w:rPr>
        <w:t>平方米，机房供配电系统由供电电箱的</w:t>
      </w:r>
      <w:r>
        <w:rPr>
          <w:sz w:val="21"/>
        </w:rPr>
        <w:t>63A</w:t>
      </w:r>
      <w:r>
        <w:rPr>
          <w:sz w:val="21"/>
        </w:rPr>
        <w:t>空气开关引出电源线至机房</w:t>
      </w:r>
      <w:r>
        <w:rPr>
          <w:sz w:val="21"/>
        </w:rPr>
        <w:t>2</w:t>
      </w:r>
      <w:r>
        <w:rPr>
          <w:sz w:val="21"/>
        </w:rPr>
        <w:t>个插座，电源线套</w:t>
      </w:r>
      <w:r>
        <w:rPr>
          <w:sz w:val="21"/>
        </w:rPr>
        <w:t>PVC</w:t>
      </w:r>
      <w:r>
        <w:rPr>
          <w:sz w:val="21"/>
        </w:rPr>
        <w:t>管，并与网线等弱电线材共走</w:t>
      </w:r>
      <w:r>
        <w:rPr>
          <w:sz w:val="21"/>
        </w:rPr>
        <w:t>一</w:t>
      </w:r>
      <w:r>
        <w:rPr>
          <w:sz w:val="21"/>
        </w:rPr>
        <w:t>条镀锌线槽：制冷系统为</w:t>
      </w:r>
      <w:r>
        <w:rPr>
          <w:sz w:val="21"/>
        </w:rPr>
        <w:t>1</w:t>
      </w:r>
      <w:r>
        <w:rPr>
          <w:sz w:val="21"/>
        </w:rPr>
        <w:t>台壁挂空调；有防静电地板：有微孔天花；机房共有</w:t>
      </w:r>
      <w:r>
        <w:rPr>
          <w:sz w:val="21"/>
        </w:rPr>
        <w:t>2</w:t>
      </w:r>
      <w:r>
        <w:rPr>
          <w:sz w:val="21"/>
        </w:rPr>
        <w:t>个</w:t>
      </w:r>
      <w:r>
        <w:rPr>
          <w:sz w:val="21"/>
        </w:rPr>
        <w:t>42U</w:t>
      </w:r>
      <w:r>
        <w:rPr>
          <w:sz w:val="21"/>
        </w:rPr>
        <w:t>服务器机柜。</w:t>
      </w:r>
      <w:r>
        <w:rPr>
          <w:sz w:val="21"/>
        </w:rPr>
        <w:t>如下图：</w:t>
      </w:r>
    </w:p>
    <w:p>
      <w:pPr>
        <w:pStyle w:val="null3"/>
        <w:ind w:firstLine="420"/>
        <w:jc w:val="center"/>
      </w:pPr>
      <w:r>
        <w:drawing>
          <wp:inline distT="0" distR="0" distB="0" distL="0">
            <wp:extent cx="5274310" cy="2961487"/>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5274310" cy="2961487"/>
                    </a:xfrm>
                    <a:prstGeom prst="rect">
                      <a:avLst/>
                    </a:prstGeom>
                  </pic:spPr>
                </pic:pic>
              </a:graphicData>
            </a:graphic>
          </wp:inline>
        </w:drawing>
      </w:r>
    </w:p>
    <w:p>
      <w:pPr>
        <w:pStyle w:val="null3"/>
        <w:ind w:firstLine="420"/>
        <w:jc w:val="center"/>
      </w:pPr>
      <w:r>
        <w:rPr>
          <w:sz w:val="21"/>
        </w:rPr>
        <w:t>图</w:t>
      </w:r>
      <w:r>
        <w:rPr>
          <w:sz w:val="21"/>
        </w:rPr>
        <w:t>2.</w:t>
      </w:r>
      <w:r>
        <w:rPr>
          <w:sz w:val="21"/>
        </w:rPr>
        <w:t xml:space="preserve">1-1 </w:t>
      </w:r>
      <w:r>
        <w:rPr>
          <w:sz w:val="21"/>
        </w:rPr>
        <w:t>机房</w:t>
      </w:r>
      <w:r>
        <w:rPr>
          <w:sz w:val="21"/>
        </w:rPr>
        <w:t>现状</w:t>
      </w:r>
    </w:p>
    <w:p>
      <w:pPr>
        <w:pStyle w:val="null3"/>
        <w:ind w:firstLine="420"/>
        <w:jc w:val="both"/>
      </w:pPr>
      <w:r>
        <w:rPr>
          <w:sz w:val="21"/>
        </w:rPr>
        <w:t>（</w:t>
      </w:r>
      <w:r>
        <w:rPr>
          <w:sz w:val="21"/>
        </w:rPr>
        <w:t>2）大队监控中心现状</w:t>
      </w:r>
    </w:p>
    <w:p>
      <w:pPr>
        <w:pStyle w:val="null3"/>
        <w:ind w:firstLine="420"/>
        <w:jc w:val="both"/>
      </w:pPr>
      <w:r>
        <w:rPr>
          <w:sz w:val="21"/>
        </w:rPr>
        <w:t>现民众街道交警大队监控室面积约</w:t>
      </w:r>
      <w:r>
        <w:rPr>
          <w:sz w:val="21"/>
        </w:rPr>
        <w:t>15</w:t>
      </w:r>
      <w:r>
        <w:rPr>
          <w:sz w:val="21"/>
        </w:rPr>
        <w:t>平方米，监控室电视墙由</w:t>
      </w:r>
      <w:r>
        <w:rPr>
          <w:sz w:val="21"/>
        </w:rPr>
        <w:t>24</w:t>
      </w:r>
      <w:r>
        <w:rPr>
          <w:sz w:val="21"/>
        </w:rPr>
        <w:t>个</w:t>
      </w:r>
      <w:r>
        <w:rPr>
          <w:sz w:val="21"/>
        </w:rPr>
        <w:t>24寸液晶显示屏进行组合拼接，并由专人负责监看，如下图：</w:t>
      </w:r>
    </w:p>
    <w:p>
      <w:pPr>
        <w:pStyle w:val="null3"/>
        <w:jc w:val="center"/>
      </w:pPr>
      <w:r>
        <w:drawing>
          <wp:inline distT="0" distR="0" distB="0" distL="0">
            <wp:extent cx="5274310" cy="2972614"/>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5274310" cy="2972614"/>
                    </a:xfrm>
                    <a:prstGeom prst="rect">
                      <a:avLst/>
                    </a:prstGeom>
                  </pic:spPr>
                </pic:pic>
              </a:graphicData>
            </a:graphic>
          </wp:inline>
        </w:drawing>
      </w:r>
    </w:p>
    <w:p>
      <w:pPr>
        <w:pStyle w:val="null3"/>
        <w:jc w:val="center"/>
      </w:pPr>
      <w:r>
        <w:rPr>
          <w:sz w:val="21"/>
        </w:rPr>
        <w:t>图</w:t>
      </w:r>
      <w:r>
        <w:rPr>
          <w:sz w:val="21"/>
        </w:rPr>
        <w:t>2.</w:t>
      </w:r>
      <w:r>
        <w:rPr>
          <w:sz w:val="21"/>
        </w:rPr>
        <w:t>1-2 指挥中心现状</w:t>
      </w:r>
    </w:p>
    <w:p>
      <w:pPr>
        <w:pStyle w:val="null3"/>
        <w:ind w:firstLine="482"/>
        <w:jc w:val="both"/>
      </w:pPr>
      <w:r>
        <w:rPr>
          <w:sz w:val="21"/>
        </w:rPr>
        <w:t>（</w:t>
      </w:r>
      <w:r>
        <w:rPr>
          <w:sz w:val="21"/>
        </w:rPr>
        <w:t>3</w:t>
      </w:r>
      <w:r>
        <w:rPr>
          <w:sz w:val="21"/>
        </w:rPr>
        <w:t>）平台软硬件系统现状</w:t>
      </w:r>
    </w:p>
    <w:p>
      <w:pPr>
        <w:pStyle w:val="null3"/>
        <w:ind w:firstLine="420"/>
        <w:jc w:val="both"/>
      </w:pPr>
      <w:r>
        <w:rPr>
          <w:sz w:val="21"/>
        </w:rPr>
        <w:t>现大队监控中心部署管理</w:t>
      </w:r>
      <w:r>
        <w:rPr>
          <w:sz w:val="21"/>
        </w:rPr>
        <w:t>平台</w:t>
      </w:r>
      <w:r>
        <w:rPr>
          <w:sz w:val="21"/>
        </w:rPr>
        <w:t>（二期）</w:t>
      </w:r>
      <w:r>
        <w:rPr>
          <w:sz w:val="21"/>
        </w:rPr>
        <w:t>，配置</w:t>
      </w:r>
      <w:r>
        <w:rPr>
          <w:sz w:val="21"/>
        </w:rPr>
        <w:t>4台</w:t>
      </w:r>
      <w:r>
        <w:rPr>
          <w:sz w:val="21"/>
        </w:rPr>
        <w:t>应用服务器（一台中心管理服务器、一台数据库服务器、</w:t>
      </w:r>
      <w:r>
        <w:rPr>
          <w:sz w:val="21"/>
        </w:rPr>
        <w:t>1</w:t>
      </w:r>
      <w:r>
        <w:rPr>
          <w:sz w:val="21"/>
        </w:rPr>
        <w:t>台流媒体服务器、</w:t>
      </w:r>
      <w:r>
        <w:rPr>
          <w:sz w:val="21"/>
        </w:rPr>
        <w:t>1台对接服务器），还有4台NVR、网络交换机、PC工作站、机柜等其他配置设备</w:t>
      </w:r>
      <w:r>
        <w:rPr>
          <w:sz w:val="21"/>
        </w:rPr>
        <w:t>。</w:t>
      </w:r>
    </w:p>
    <w:p>
      <w:pPr>
        <w:pStyle w:val="null3"/>
        <w:ind w:firstLine="420"/>
        <w:jc w:val="both"/>
      </w:pPr>
      <w:r>
        <w:rPr>
          <w:sz w:val="21"/>
        </w:rPr>
        <w:t>目前民众交警平台现有二期平台，二期平台前端视频储存在监控中心</w:t>
      </w:r>
      <w:r>
        <w:rPr>
          <w:sz w:val="21"/>
        </w:rPr>
        <w:t>4台NVR，违法图片、数据储存在数据服务器上，并已经与支队平台（中山市智能交通管理系统中心管理平台）进行对接。</w:t>
      </w:r>
    </w:p>
    <w:p>
      <w:pPr>
        <w:pStyle w:val="null3"/>
        <w:ind w:left="705"/>
        <w:jc w:val="both"/>
        <w:outlineLvl w:val="2"/>
      </w:pPr>
      <w:r>
        <w:rPr>
          <w:sz w:val="21"/>
          <w:b/>
        </w:rPr>
        <w:t>2.1.2.民众街道智能交通综合管理平台</w:t>
      </w:r>
      <w:r>
        <w:rPr>
          <w:sz w:val="21"/>
          <w:b/>
        </w:rPr>
        <w:t>现况</w:t>
      </w:r>
    </w:p>
    <w:p>
      <w:pPr>
        <w:pStyle w:val="null3"/>
        <w:jc w:val="center"/>
      </w:pPr>
      <w:r>
        <w:drawing>
          <wp:inline distT="0" distR="0" distB="0" distL="0">
            <wp:extent cx="5274310" cy="4525698"/>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5274310" cy="4525698"/>
                    </a:xfrm>
                    <a:prstGeom prst="rect">
                      <a:avLst/>
                    </a:prstGeom>
                  </pic:spPr>
                </pic:pic>
              </a:graphicData>
            </a:graphic>
          </wp:inline>
        </w:drawing>
      </w:r>
    </w:p>
    <w:p>
      <w:pPr>
        <w:pStyle w:val="null3"/>
        <w:ind w:firstLine="420"/>
        <w:jc w:val="both"/>
      </w:pPr>
      <w:r>
        <w:rPr>
          <w:sz w:val="21"/>
        </w:rPr>
        <w:t>目前民众街道智能交通管理平台的主要设备如下：</w:t>
      </w:r>
    </w:p>
    <w:p>
      <w:pPr>
        <w:pStyle w:val="null3"/>
        <w:ind w:firstLine="420"/>
        <w:jc w:val="both"/>
      </w:pPr>
      <w:r>
        <w:rPr>
          <w:sz w:val="21"/>
        </w:rPr>
        <w:t>应用服务器</w:t>
      </w:r>
      <w:r>
        <w:rPr>
          <w:sz w:val="21"/>
        </w:rPr>
        <w:t>（</w:t>
      </w:r>
      <w:r>
        <w:rPr>
          <w:sz w:val="21"/>
        </w:rPr>
        <w:t>1台）：部署于机房机柜中，用于智能交通综合管理平台与前端系统的网络通讯及数据交换；</w:t>
      </w:r>
    </w:p>
    <w:p>
      <w:pPr>
        <w:pStyle w:val="null3"/>
        <w:ind w:firstLine="420"/>
        <w:jc w:val="both"/>
      </w:pPr>
      <w:r>
        <w:rPr>
          <w:sz w:val="21"/>
        </w:rPr>
        <w:t>存储服务器</w:t>
      </w:r>
      <w:r>
        <w:rPr>
          <w:sz w:val="21"/>
        </w:rPr>
        <w:t>（</w:t>
      </w:r>
      <w:r>
        <w:rPr>
          <w:sz w:val="21"/>
        </w:rPr>
        <w:t>1台）：部署于机房机柜中，用于对各数据的的存储能力；</w:t>
      </w:r>
    </w:p>
    <w:p>
      <w:pPr>
        <w:pStyle w:val="null3"/>
        <w:ind w:firstLine="420"/>
        <w:jc w:val="both"/>
      </w:pPr>
      <w:r>
        <w:rPr>
          <w:sz w:val="21"/>
        </w:rPr>
        <w:t>DVR (2台)：部署于机房机柜中，用于存储系统的实时监控视频数据；</w:t>
      </w:r>
    </w:p>
    <w:p>
      <w:pPr>
        <w:pStyle w:val="null3"/>
        <w:ind w:firstLine="420"/>
        <w:jc w:val="both"/>
      </w:pPr>
      <w:r>
        <w:rPr>
          <w:sz w:val="21"/>
        </w:rPr>
        <w:t>硬盘录像机</w:t>
      </w:r>
      <w:r>
        <w:rPr>
          <w:sz w:val="21"/>
        </w:rPr>
        <w:t>NVR （6台）：部署于机房机柜中，用于存储系统的实时监控视频数据；</w:t>
      </w:r>
    </w:p>
    <w:p>
      <w:pPr>
        <w:pStyle w:val="null3"/>
        <w:ind w:firstLine="420"/>
        <w:jc w:val="both"/>
      </w:pPr>
      <w:r>
        <w:rPr>
          <w:sz w:val="21"/>
        </w:rPr>
        <w:t>交换机</w:t>
      </w:r>
      <w:r>
        <w:rPr>
          <w:sz w:val="21"/>
        </w:rPr>
        <w:t>（</w:t>
      </w:r>
      <w:r>
        <w:rPr>
          <w:sz w:val="21"/>
        </w:rPr>
        <w:t>2台）：部署于机房机柜中，用于系统设备通讯连接；</w:t>
      </w:r>
    </w:p>
    <w:p>
      <w:pPr>
        <w:pStyle w:val="null3"/>
        <w:ind w:firstLine="420"/>
        <w:jc w:val="both"/>
      </w:pPr>
      <w:r>
        <w:rPr>
          <w:sz w:val="21"/>
        </w:rPr>
        <w:t>光端机</w:t>
      </w:r>
      <w:r>
        <w:rPr>
          <w:sz w:val="21"/>
        </w:rPr>
        <w:t>（</w:t>
      </w:r>
      <w:r>
        <w:rPr>
          <w:sz w:val="21"/>
        </w:rPr>
        <w:t>2台）：部署于机房机柜中，用于系统通讯网络连接；</w:t>
      </w:r>
    </w:p>
    <w:p>
      <w:pPr>
        <w:pStyle w:val="null3"/>
        <w:ind w:firstLine="420"/>
        <w:jc w:val="both"/>
      </w:pPr>
      <w:r>
        <w:rPr>
          <w:sz w:val="21"/>
        </w:rPr>
        <w:t>IPSAN磁盘阵列 （2台）：部署于机房机柜中，用于对各数据的存储空间；</w:t>
      </w:r>
    </w:p>
    <w:p>
      <w:pPr>
        <w:pStyle w:val="null3"/>
        <w:ind w:firstLine="420"/>
        <w:jc w:val="both"/>
      </w:pPr>
      <w:r>
        <w:rPr>
          <w:sz w:val="21"/>
        </w:rPr>
        <w:t>数据库服务器</w:t>
      </w:r>
      <w:r>
        <w:rPr>
          <w:sz w:val="21"/>
        </w:rPr>
        <w:t>（</w:t>
      </w:r>
      <w:r>
        <w:rPr>
          <w:sz w:val="21"/>
        </w:rPr>
        <w:t>1台）：部署于系统中心管理平台的设备机柜中，用于过车图片，过车记录，违法记录等信息的存储，支持大数据引擎，数据可以快速检索；</w:t>
      </w:r>
    </w:p>
    <w:p>
      <w:pPr>
        <w:pStyle w:val="null3"/>
        <w:ind w:firstLine="420"/>
        <w:jc w:val="both"/>
      </w:pPr>
      <w:r>
        <w:rPr>
          <w:sz w:val="21"/>
        </w:rPr>
        <w:t>中心管理服务器</w:t>
      </w:r>
      <w:r>
        <w:rPr>
          <w:sz w:val="21"/>
        </w:rPr>
        <w:t>（</w:t>
      </w:r>
      <w:r>
        <w:rPr>
          <w:sz w:val="21"/>
        </w:rPr>
        <w:t>1台）：部署于系统中心管理平台的设备机柜中，用于电子警察系统的统一管理，数据查询，集成了卡口/电警管理、车辆研判、用户认证、视频管理、设备管理、控制管理、任务管理、日志管理、报警管理、运维管理、电视墙管理、存储管理、媒体转发等功能；</w:t>
      </w:r>
    </w:p>
    <w:p>
      <w:pPr>
        <w:pStyle w:val="null3"/>
        <w:ind w:firstLine="420"/>
        <w:jc w:val="both"/>
      </w:pPr>
      <w:r>
        <w:rPr>
          <w:sz w:val="21"/>
        </w:rPr>
        <w:t>智能交通终端管理主机</w:t>
      </w:r>
      <w:r>
        <w:rPr>
          <w:sz w:val="21"/>
        </w:rPr>
        <w:t>（</w:t>
      </w:r>
      <w:r>
        <w:rPr>
          <w:sz w:val="21"/>
        </w:rPr>
        <w:t>1台）：部署于监控点的前端设备机柜中，自带检测管理软件和检测软件（根据本项目功能要求开发），实现对行驶通过监测区域内的车辆进行车辆视频检测、车辆号牌识别、交通流检测；</w:t>
      </w:r>
    </w:p>
    <w:p>
      <w:pPr>
        <w:pStyle w:val="null3"/>
        <w:ind w:firstLine="420"/>
        <w:jc w:val="both"/>
      </w:pPr>
      <w:r>
        <w:rPr>
          <w:sz w:val="21"/>
        </w:rPr>
        <w:t>图片转发服务器</w:t>
      </w:r>
      <w:r>
        <w:rPr>
          <w:sz w:val="21"/>
        </w:rPr>
        <w:t>（</w:t>
      </w:r>
      <w:r>
        <w:rPr>
          <w:sz w:val="21"/>
        </w:rPr>
        <w:t>1台）：部署于系统中心管理平台的设备机柜中，用于电子警察抓拍图片的转发；</w:t>
      </w:r>
    </w:p>
    <w:p>
      <w:pPr>
        <w:pStyle w:val="null3"/>
        <w:ind w:firstLine="420"/>
        <w:jc w:val="both"/>
      </w:pPr>
      <w:r>
        <w:rPr>
          <w:sz w:val="21"/>
        </w:rPr>
        <w:t>对接服务器</w:t>
      </w:r>
      <w:r>
        <w:rPr>
          <w:sz w:val="21"/>
        </w:rPr>
        <w:t>（</w:t>
      </w:r>
      <w:r>
        <w:rPr>
          <w:sz w:val="21"/>
        </w:rPr>
        <w:t>1台）：部署于系统中心管理平台的设备机柜中，用于抓拍图片上传至支队平台。</w:t>
      </w:r>
    </w:p>
    <w:p>
      <w:pPr>
        <w:pStyle w:val="null3"/>
        <w:ind w:left="705"/>
        <w:jc w:val="both"/>
        <w:outlineLvl w:val="2"/>
      </w:pPr>
      <w:r>
        <w:rPr>
          <w:sz w:val="21"/>
          <w:b/>
        </w:rPr>
        <w:t>2.1.3.民众街道</w:t>
      </w:r>
      <w:r>
        <w:rPr>
          <w:sz w:val="21"/>
          <w:b/>
        </w:rPr>
        <w:t>大队智能交通综合管控平台</w:t>
      </w:r>
      <w:r>
        <w:rPr>
          <w:sz w:val="21"/>
          <w:b/>
        </w:rPr>
        <w:t>功能现状</w:t>
      </w:r>
    </w:p>
    <w:p>
      <w:pPr>
        <w:pStyle w:val="null3"/>
        <w:ind w:firstLine="420"/>
        <w:jc w:val="both"/>
      </w:pPr>
      <w:r>
        <w:rPr>
          <w:sz w:val="21"/>
        </w:rPr>
        <w:t>现有</w:t>
      </w:r>
      <w:r>
        <w:rPr>
          <w:sz w:val="21"/>
        </w:rPr>
        <w:t>5</w:t>
      </w:r>
      <w:r>
        <w:rPr>
          <w:sz w:val="21"/>
        </w:rPr>
        <w:t>个前端点位设备均接入到民众街道分局交警大队</w:t>
      </w:r>
      <w:r>
        <w:rPr>
          <w:sz w:val="21"/>
        </w:rPr>
        <w:t>智能交通综合管控</w:t>
      </w:r>
      <w:r>
        <w:rPr>
          <w:sz w:val="21"/>
        </w:rPr>
        <w:t>平台中进行统一管理。</w:t>
      </w:r>
    </w:p>
    <w:p>
      <w:pPr>
        <w:pStyle w:val="null3"/>
        <w:ind w:firstLine="420"/>
        <w:jc w:val="both"/>
      </w:pPr>
      <w:r>
        <w:rPr>
          <w:sz w:val="21"/>
        </w:rPr>
        <w:t>平台</w:t>
      </w:r>
      <w:r>
        <w:rPr>
          <w:sz w:val="21"/>
        </w:rPr>
        <w:t>主要由</w:t>
      </w:r>
      <w:r>
        <w:rPr>
          <w:sz w:val="21"/>
        </w:rPr>
        <w:t>报警管理模块，录像管理模块，系统运维模块，系统管理功能模块，首页功能模块，交通状况模块六</w:t>
      </w:r>
      <w:r>
        <w:rPr>
          <w:sz w:val="21"/>
        </w:rPr>
        <w:t>大部分构成。</w:t>
      </w:r>
      <w:r>
        <w:rPr>
          <w:sz w:val="21"/>
        </w:rPr>
        <w:t>该平台已经与中山市智能交通指挥控制集成扩容平台对接。现有平台功能模块如下：</w:t>
      </w:r>
    </w:p>
    <w:tbl>
      <w:tblPr>
        <w:tblW w:w="0" w:type="auto"/>
        <w:tblBorders>
          <w:top w:val="none" w:color="000000" w:sz="4"/>
          <w:left w:val="none" w:color="000000" w:sz="4"/>
          <w:bottom w:val="none" w:color="000000" w:sz="4"/>
          <w:right w:val="none" w:color="000000" w:sz="4"/>
          <w:insideH w:val="none"/>
          <w:insideV w:val="none"/>
        </w:tblBorders>
      </w:tblPr>
      <w:tblGrid>
        <w:gridCol w:w="1384"/>
        <w:gridCol w:w="1927"/>
        <w:gridCol w:w="4993"/>
      </w:tblGrid>
      <w:tr>
        <w:tc>
          <w:tcPr>
            <w:tcW w:type="dxa" w:w="1384"/>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报警管理</w:t>
            </w:r>
          </w:p>
        </w:tc>
        <w:tc>
          <w:tcPr>
            <w:tcW w:type="dxa" w:w="192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视频监控报警</w:t>
            </w:r>
          </w:p>
        </w:tc>
        <w:tc>
          <w:tcPr>
            <w:tcW w:type="dxa" w:w="499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1.支持视频遮挡、视频丢失、移动侦测报警</w:t>
            </w:r>
          </w:p>
          <w:p>
            <w:pPr>
              <w:pStyle w:val="null3"/>
              <w:jc w:val="both"/>
            </w:pPr>
            <w:r>
              <w:rPr>
                <w:sz w:val="21"/>
              </w:rPr>
              <w:t>2.支持报警级别设置</w:t>
            </w:r>
          </w:p>
          <w:p>
            <w:pPr>
              <w:pStyle w:val="null3"/>
              <w:jc w:val="both"/>
            </w:pPr>
            <w:r>
              <w:rPr>
                <w:sz w:val="21"/>
              </w:rPr>
              <w:t>3.布防时间支持计划模板的设置（全天候模板、工作日模板、周末模板、以及8个自定义报警模板）；</w:t>
            </w:r>
          </w:p>
          <w:p>
            <w:pPr>
              <w:pStyle w:val="null3"/>
              <w:jc w:val="both"/>
            </w:pPr>
            <w:r>
              <w:rPr>
                <w:sz w:val="21"/>
              </w:rPr>
              <w:t>4.支持录像联动、云台联动、联动报警输出、短信联动、Email联动</w:t>
            </w:r>
          </w:p>
          <w:p>
            <w:pPr>
              <w:pStyle w:val="null3"/>
              <w:jc w:val="both"/>
            </w:pPr>
            <w:r>
              <w:rPr>
                <w:sz w:val="21"/>
              </w:rPr>
              <w:t>5.支持人员卡口设备的人员黑名单和重复出现报警类型</w:t>
            </w:r>
          </w:p>
        </w:tc>
      </w:tr>
      <w:tr>
        <w:tc>
          <w:tcPr>
            <w:tcW w:type="dxa" w:w="1384"/>
            <w:vMerge/>
            <w:tcBorders>
              <w:top w:val="singl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设备报警</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1.支持升级失败、硬盘错误、硬盘满报警；</w:t>
            </w:r>
          </w:p>
          <w:p>
            <w:pPr>
              <w:pStyle w:val="null3"/>
              <w:jc w:val="both"/>
            </w:pPr>
            <w:r>
              <w:rPr>
                <w:sz w:val="21"/>
              </w:rPr>
              <w:t>2.支持计划模板；</w:t>
            </w:r>
          </w:p>
          <w:p>
            <w:pPr>
              <w:pStyle w:val="null3"/>
              <w:jc w:val="both"/>
            </w:pPr>
            <w:r>
              <w:rPr>
                <w:sz w:val="21"/>
              </w:rPr>
              <w:t>3.支持路口机柜开门报警及联动。</w:t>
            </w:r>
          </w:p>
        </w:tc>
      </w:tr>
      <w:tr>
        <w:tc>
          <w:tcPr>
            <w:tcW w:type="dxa" w:w="1384"/>
            <w:vMerge/>
            <w:tcBorders>
              <w:top w:val="singl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IO报警</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1.支持DVS/DVR设备的I</w:t>
            </w:r>
            <w:r>
              <w:rPr>
                <w:sz w:val="21"/>
              </w:rPr>
              <w:t>O</w:t>
            </w:r>
            <w:r>
              <w:rPr>
                <w:sz w:val="21"/>
              </w:rPr>
              <w:t>报警；</w:t>
            </w:r>
          </w:p>
          <w:p>
            <w:pPr>
              <w:pStyle w:val="null3"/>
              <w:jc w:val="both"/>
            </w:pPr>
            <w:r>
              <w:rPr>
                <w:sz w:val="21"/>
              </w:rPr>
              <w:t>2.其他同视频监控点报警（2/3/4)</w:t>
            </w:r>
          </w:p>
        </w:tc>
      </w:tr>
      <w:tr>
        <w:tc>
          <w:tcPr>
            <w:tcW w:type="dxa" w:w="1384"/>
            <w:vMerge/>
            <w:tcBorders>
              <w:top w:val="singl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报警统计</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支持组织（单位）下的报警数、监控点报警数、设备报警数、</w:t>
            </w:r>
            <w:r>
              <w:rPr>
                <w:sz w:val="21"/>
              </w:rPr>
              <w:t>I/O报警数的显示</w:t>
            </w:r>
          </w:p>
        </w:tc>
      </w:tr>
      <w:tr>
        <w:tc>
          <w:tcPr>
            <w:tcW w:type="dxa" w:w="1384"/>
            <w:vMerge/>
            <w:tcBorders>
              <w:top w:val="singl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报警声音联动</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布控、套牌、区间、违法</w:t>
            </w:r>
            <w:r>
              <w:rPr>
                <w:sz w:val="21"/>
              </w:rPr>
              <w:t>、</w:t>
            </w:r>
            <w:r>
              <w:rPr>
                <w:sz w:val="21"/>
              </w:rPr>
              <w:t>机柜门报警支持声音报警配置，试听及实时声音报警</w:t>
            </w:r>
          </w:p>
        </w:tc>
      </w:tr>
      <w:tr>
        <w:tc>
          <w:tcPr>
            <w:tcW w:type="dxa" w:w="1384"/>
            <w:vMerge/>
            <w:tcBorders>
              <w:top w:val="singl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报警弹窗提示</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布控、套牌、区间、机柜门报警支持在任何界面弹窗报警，可以点击连接査看详情</w:t>
            </w:r>
          </w:p>
        </w:tc>
      </w:tr>
      <w:tr>
        <w:tc>
          <w:tcPr>
            <w:tcW w:type="dxa" w:w="1384"/>
            <w:vMerge/>
            <w:tcBorders>
              <w:top w:val="singl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服务器报警</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1、支持图片服务器报警。</w:t>
            </w:r>
          </w:p>
          <w:p>
            <w:pPr>
              <w:pStyle w:val="null3"/>
              <w:jc w:val="both"/>
            </w:pPr>
            <w:r>
              <w:rPr>
                <w:sz w:val="21"/>
              </w:rPr>
              <w:t>2、支持cvr报警，包括：CVR主机温度报警、CVR扩展柜温度报警、CVR磁盘阵列报警、CVR内存报警</w:t>
            </w:r>
          </w:p>
        </w:tc>
      </w:tr>
      <w:tr>
        <w:tc>
          <w:tcPr>
            <w:tcW w:type="dxa" w:w="1384"/>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录像管理</w:t>
            </w: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录像计划</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1.支持录像计划模板的配置（全天候模板、工作日模板、周末模板、以及8个自定义报警模板）；</w:t>
            </w:r>
          </w:p>
          <w:p>
            <w:pPr>
              <w:pStyle w:val="null3"/>
              <w:jc w:val="both"/>
            </w:pPr>
            <w:r>
              <w:rPr>
                <w:sz w:val="21"/>
              </w:rPr>
              <w:t>2.支持监控点录像时的存储方式:设备存储、NVR存储、嵌入式存储。</w:t>
            </w:r>
          </w:p>
          <w:p>
            <w:pPr>
              <w:pStyle w:val="null3"/>
              <w:jc w:val="both"/>
            </w:pPr>
            <w:r>
              <w:rPr>
                <w:sz w:val="21"/>
              </w:rPr>
              <w:t>3.支持监控点录像时的码流类型选择：主码流、子码流。</w:t>
            </w:r>
          </w:p>
        </w:tc>
      </w:tr>
      <w:tr>
        <w:tc>
          <w:tcPr>
            <w:tcW w:type="dxa" w:w="1384"/>
            <w:vMerge/>
            <w:tcBorders>
              <w:top w:val="non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统计信息</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支持组织下的监控点是否己配录像计划的数目信息</w:t>
            </w:r>
          </w:p>
        </w:tc>
      </w:tr>
      <w:tr>
        <w:tc>
          <w:tcPr>
            <w:tcW w:type="dxa" w:w="138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系统运维</w:t>
            </w: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运维子系统</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1.系统能够定时自动巡检服务器和设备的工作状态。</w:t>
            </w:r>
          </w:p>
          <w:p>
            <w:pPr>
              <w:pStyle w:val="null3"/>
              <w:jc w:val="both"/>
            </w:pPr>
            <w:r>
              <w:rPr>
                <w:sz w:val="21"/>
              </w:rPr>
              <w:t>2.支持运维概况査看，包括视频概况，卡口概况。</w:t>
            </w:r>
          </w:p>
          <w:p>
            <w:pPr>
              <w:pStyle w:val="null3"/>
              <w:jc w:val="both"/>
            </w:pPr>
            <w:r>
              <w:rPr>
                <w:sz w:val="21"/>
              </w:rPr>
              <w:t>3.能够管理卡口相关设备的状态</w:t>
            </w:r>
          </w:p>
          <w:p>
            <w:pPr>
              <w:pStyle w:val="null3"/>
              <w:jc w:val="both"/>
            </w:pPr>
            <w:r>
              <w:rPr>
                <w:sz w:val="21"/>
              </w:rPr>
              <w:t>4.支持运维的告警査询。</w:t>
            </w:r>
          </w:p>
          <w:p>
            <w:pPr>
              <w:pStyle w:val="null3"/>
              <w:jc w:val="both"/>
            </w:pPr>
            <w:r>
              <w:rPr>
                <w:sz w:val="21"/>
              </w:rPr>
              <w:t>5.支持统计报表，包括点位状态统计。</w:t>
            </w:r>
          </w:p>
          <w:p>
            <w:pPr>
              <w:pStyle w:val="null3"/>
              <w:jc w:val="both"/>
            </w:pPr>
            <w:r>
              <w:rPr>
                <w:sz w:val="21"/>
              </w:rPr>
              <w:t>6.支持可视监控。</w:t>
            </w:r>
          </w:p>
        </w:tc>
      </w:tr>
      <w:tr>
        <w:tc>
          <w:tcPr>
            <w:tcW w:type="dxa" w:w="1384"/>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系统管理功能</w:t>
            </w: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日志管理功能</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系统对操作日志、配置日志、报警日志信息进行记录、査询和维护</w:t>
            </w:r>
          </w:p>
        </w:tc>
      </w:tr>
      <w:tr>
        <w:tc>
          <w:tcPr>
            <w:tcW w:type="dxa" w:w="1384"/>
            <w:vMerge/>
            <w:tcBorders>
              <w:top w:val="non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参数管理</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1.支持违法、违法代码、布控原因、糸统参数配置管理</w:t>
            </w:r>
          </w:p>
          <w:p>
            <w:pPr>
              <w:pStyle w:val="null3"/>
              <w:jc w:val="both"/>
            </w:pPr>
            <w:r>
              <w:rPr>
                <w:sz w:val="21"/>
              </w:rPr>
              <w:t>2.支持数据字典属性配置，违法、违法管理参数配置，违法、违法行为字典配置。</w:t>
            </w:r>
          </w:p>
        </w:tc>
      </w:tr>
      <w:tr>
        <w:tc>
          <w:tcPr>
            <w:tcW w:type="dxa" w:w="1384"/>
            <w:vMerge/>
            <w:tcBorders>
              <w:top w:val="non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特殊车辆管理</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系统可以添加特殊车辆，包括特权车辆（红名单车辆）、单行路允许车辆、单双号允许车辆、限时禁行允许车辆，在本系统中产生违法时不进行报警。</w:t>
            </w:r>
          </w:p>
        </w:tc>
      </w:tr>
      <w:tr>
        <w:tc>
          <w:tcPr>
            <w:tcW w:type="dxa" w:w="1384"/>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首页功能</w:t>
            </w: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插画</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支持插画的方式展示每个一级菜单的功能。并附带文字描述</w:t>
            </w:r>
          </w:p>
        </w:tc>
      </w:tr>
      <w:tr>
        <w:tc>
          <w:tcPr>
            <w:tcW w:type="dxa" w:w="1384"/>
            <w:vMerge/>
            <w:tcBorders>
              <w:top w:val="non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切换</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支持切换一级菜单，并展示二级菜单，可以直接点击二级菜单进行页面跳转</w:t>
            </w:r>
          </w:p>
        </w:tc>
      </w:tr>
      <w:tr>
        <w:tc>
          <w:tcPr>
            <w:tcW w:type="dxa" w:w="1384"/>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交通状况</w:t>
            </w: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交通状况监测</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1.支持监控点的视频预览、视频回放、选择上墙、快速上墙</w:t>
            </w:r>
          </w:p>
          <w:p>
            <w:pPr>
              <w:pStyle w:val="null3"/>
              <w:jc w:val="both"/>
            </w:pPr>
            <w:r>
              <w:rPr>
                <w:sz w:val="21"/>
              </w:rPr>
              <w:t>2.支持地图可视域展示</w:t>
            </w:r>
          </w:p>
          <w:p>
            <w:pPr>
              <w:pStyle w:val="null3"/>
              <w:jc w:val="both"/>
            </w:pPr>
            <w:r>
              <w:rPr>
                <w:sz w:val="21"/>
              </w:rPr>
              <w:t>3.支持监控设备按类型进行图层控制</w:t>
            </w:r>
          </w:p>
          <w:p>
            <w:pPr>
              <w:pStyle w:val="null3"/>
              <w:jc w:val="both"/>
            </w:pPr>
            <w:r>
              <w:rPr>
                <w:sz w:val="21"/>
              </w:rPr>
              <w:t>4.支持多路视频同时播放</w:t>
            </w:r>
          </w:p>
        </w:tc>
      </w:tr>
      <w:tr>
        <w:tc>
          <w:tcPr>
            <w:tcW w:type="dxa" w:w="1384"/>
            <w:vMerge/>
            <w:tcBorders>
              <w:top w:val="non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流量指数</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1.支持交通态势，包括实时路况、预测路况、历史高峰、动态热点功能。</w:t>
            </w:r>
          </w:p>
          <w:p>
            <w:pPr>
              <w:pStyle w:val="null3"/>
              <w:jc w:val="both"/>
            </w:pPr>
            <w:r>
              <w:rPr>
                <w:sz w:val="21"/>
              </w:rPr>
              <w:t>2.支持专项分项。</w:t>
            </w:r>
          </w:p>
          <w:p>
            <w:pPr>
              <w:pStyle w:val="null3"/>
              <w:jc w:val="both"/>
            </w:pPr>
            <w:r>
              <w:rPr>
                <w:sz w:val="21"/>
              </w:rPr>
              <w:t>3.支持交通评价，支持对路口、路段、区域进行分析，展示路口、路段、区域的交通拥堵指数、道路不均指数、评价结果。</w:t>
            </w:r>
          </w:p>
          <w:p>
            <w:pPr>
              <w:pStyle w:val="null3"/>
              <w:jc w:val="both"/>
            </w:pPr>
            <w:r>
              <w:rPr>
                <w:sz w:val="21"/>
              </w:rPr>
              <w:t>4.支持生成交通报告。</w:t>
            </w:r>
          </w:p>
        </w:tc>
      </w:tr>
      <w:tr>
        <w:tc>
          <w:tcPr>
            <w:tcW w:type="dxa" w:w="1384"/>
            <w:vMerge/>
            <w:tcBorders>
              <w:top w:val="non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实时监控</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1.系统可以对多种产品的视频资源进行实时预览。</w:t>
            </w:r>
          </w:p>
          <w:p>
            <w:pPr>
              <w:pStyle w:val="null3"/>
              <w:jc w:val="both"/>
            </w:pPr>
            <w:r>
              <w:rPr>
                <w:sz w:val="21"/>
              </w:rPr>
              <w:t>2.系统支持多种画面分割模式。</w:t>
            </w:r>
          </w:p>
          <w:p>
            <w:pPr>
              <w:pStyle w:val="null3"/>
              <w:jc w:val="both"/>
            </w:pPr>
            <w:r>
              <w:rPr>
                <w:sz w:val="21"/>
              </w:rPr>
              <w:t>3.支持云台控制，预置点设置和调用。</w:t>
            </w:r>
          </w:p>
          <w:p>
            <w:pPr>
              <w:pStyle w:val="null3"/>
              <w:jc w:val="both"/>
            </w:pPr>
            <w:r>
              <w:rPr>
                <w:sz w:val="21"/>
              </w:rPr>
              <w:t>4.支持声音打开/关闭；支持本地录像、抓图；支持3D定位及电子放大功能。</w:t>
            </w:r>
          </w:p>
          <w:p>
            <w:pPr>
              <w:pStyle w:val="null3"/>
              <w:jc w:val="both"/>
            </w:pPr>
            <w:r>
              <w:rPr>
                <w:sz w:val="21"/>
              </w:rPr>
              <w:t>5.支持轮巡配置（轮巡通道的添加、轮巡间隔时间设置）、组内轮巡功能，支持监控点分组单画面轮巡。（CS客户端支持）</w:t>
            </w:r>
          </w:p>
        </w:tc>
      </w:tr>
      <w:tr>
        <w:tc>
          <w:tcPr>
            <w:tcW w:type="dxa" w:w="1384"/>
            <w:vMerge/>
            <w:tcBorders>
              <w:top w:val="non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录像回放</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1.系统支持按照录像类型、时间、通道对录像进行检索，检索成功后进行回放。</w:t>
            </w:r>
          </w:p>
          <w:p>
            <w:pPr>
              <w:pStyle w:val="null3"/>
              <w:jc w:val="both"/>
            </w:pPr>
            <w:r>
              <w:rPr>
                <w:sz w:val="21"/>
              </w:rPr>
              <w:t>2.系统支持对多个通道进行同步和异步回放。</w:t>
            </w:r>
          </w:p>
          <w:p>
            <w:pPr>
              <w:pStyle w:val="null3"/>
              <w:jc w:val="both"/>
            </w:pPr>
            <w:r>
              <w:rPr>
                <w:sz w:val="21"/>
              </w:rPr>
              <w:t>3.系统可以对同一路通道的录像资料，分为几个不同的时间片段来回放，方便快速的査找所要的录像段。</w:t>
            </w:r>
          </w:p>
          <w:p>
            <w:pPr>
              <w:pStyle w:val="null3"/>
              <w:jc w:val="both"/>
            </w:pPr>
            <w:r>
              <w:rPr>
                <w:sz w:val="21"/>
              </w:rPr>
              <w:t>4.系统CS客户端可以实现预览窗口中即时回放前几秒录像文件的功能。</w:t>
            </w:r>
          </w:p>
          <w:p>
            <w:pPr>
              <w:pStyle w:val="null3"/>
              <w:jc w:val="both"/>
            </w:pPr>
            <w:r>
              <w:rPr>
                <w:sz w:val="21"/>
              </w:rPr>
              <w:t>5.回放过程中支持快放、慢放、单帧回放、抓图、剪辑、打开/关闭声音等功能。</w:t>
            </w:r>
          </w:p>
        </w:tc>
      </w:tr>
      <w:tr>
        <w:tc>
          <w:tcPr>
            <w:tcW w:type="dxa" w:w="1384"/>
            <w:vMerge/>
            <w:tcBorders>
              <w:top w:val="non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交通事件査询</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交通事件检测，能基于视频检测器对高速公路交通事件做实时监控，可实时査看高速公路的交通事件，包括拥堵、停车、逆行、行人、抛洒物、烟雾等信息。支持对所有的交通事件（拥堵、停车、逆行、行人、抛洒物、烟雾等）进行査询。</w:t>
            </w:r>
          </w:p>
        </w:tc>
      </w:tr>
      <w:tr>
        <w:tc>
          <w:tcPr>
            <w:tcW w:type="dxa" w:w="1384"/>
            <w:vMerge/>
            <w:tcBorders>
              <w:top w:val="non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交通事件统汁</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支持对拥堵、停车、逆行、行人、抛洒物、烟雾等交通事件进行统计。</w:t>
            </w:r>
          </w:p>
        </w:tc>
      </w:tr>
      <w:tr>
        <w:tc>
          <w:tcPr>
            <w:tcW w:type="dxa" w:w="1384"/>
            <w:vMerge/>
            <w:tcBorders>
              <w:top w:val="none" w:color="000000" w:sz="4"/>
              <w:left w:val="single" w:color="000000" w:sz="4"/>
              <w:bottom w:val="single" w:color="000000" w:sz="4"/>
              <w:right w:val="single" w:color="000000" w:sz="4"/>
            </w:tcBorders>
          </w:tcPr>
          <w:p/>
        </w:tc>
        <w:tc>
          <w:tcPr>
            <w:tcW w:type="dxa" w:w="19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交通数据统计</w:t>
            </w:r>
          </w:p>
        </w:tc>
        <w:tc>
          <w:tcPr>
            <w:tcW w:type="dxa" w:w="49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支持对交通数据（车道速度、车头时距、车头间距、空间</w:t>
            </w:r>
            <w:r>
              <w:rPr>
                <w:sz w:val="21"/>
              </w:rPr>
              <w:t>占比率</w:t>
            </w:r>
            <w:r>
              <w:rPr>
                <w:sz w:val="21"/>
              </w:rPr>
              <w:t>、时间</w:t>
            </w:r>
            <w:r>
              <w:rPr>
                <w:sz w:val="21"/>
              </w:rPr>
              <w:t>占比率</w:t>
            </w:r>
            <w:r>
              <w:rPr>
                <w:sz w:val="21"/>
              </w:rPr>
              <w:t>、小型车数量、中型车数量、重型车数量）进行统计。</w:t>
            </w:r>
          </w:p>
        </w:tc>
      </w:tr>
    </w:tbl>
    <w:p>
      <w:pPr>
        <w:pStyle w:val="null3"/>
        <w:ind w:left="705"/>
        <w:jc w:val="both"/>
        <w:outlineLvl w:val="2"/>
      </w:pPr>
      <w:r>
        <w:rPr>
          <w:sz w:val="21"/>
          <w:b/>
        </w:rPr>
        <w:t>2.1.4.</w:t>
      </w:r>
      <w:r>
        <w:rPr>
          <w:sz w:val="21"/>
          <w:b/>
        </w:rPr>
        <w:t>与其他平台对接</w:t>
      </w:r>
      <w:r>
        <w:rPr>
          <w:sz w:val="21"/>
          <w:b/>
        </w:rPr>
        <w:t>现状</w:t>
      </w:r>
      <w:r>
        <w:rPr>
          <w:sz w:val="21"/>
          <w:b/>
        </w:rPr>
        <w:t xml:space="preserve"> </w:t>
      </w:r>
    </w:p>
    <w:p>
      <w:pPr>
        <w:pStyle w:val="null3"/>
        <w:ind w:firstLine="420"/>
        <w:jc w:val="both"/>
      </w:pPr>
      <w:r>
        <w:rPr>
          <w:sz w:val="21"/>
        </w:rPr>
        <w:t>本项目将利旧原有民众街道分局交警大队智能交通综合管控平台，该平台将与中山市智能交通指挥控制集成扩容平台、中山市公安局民众街道分局视频监控报警共享平台、中山市公安局视频云的对接工作。</w:t>
      </w:r>
    </w:p>
    <w:p>
      <w:pPr>
        <w:pStyle w:val="null3"/>
        <w:ind w:left="705"/>
        <w:jc w:val="both"/>
        <w:outlineLvl w:val="2"/>
      </w:pPr>
      <w:r>
        <w:rPr>
          <w:sz w:val="21"/>
          <w:b/>
        </w:rPr>
        <w:t>2.1.5.</w:t>
      </w:r>
      <w:r>
        <w:rPr>
          <w:sz w:val="21"/>
          <w:b/>
        </w:rPr>
        <w:t>项目建设（路段）现况</w:t>
      </w:r>
    </w:p>
    <w:p>
      <w:pPr>
        <w:pStyle w:val="null3"/>
        <w:ind w:firstLine="420"/>
        <w:jc w:val="both"/>
      </w:pPr>
      <w:r>
        <w:rPr>
          <w:sz w:val="21"/>
        </w:rPr>
        <w:t>对民众街道道路交通现况进行了调查，民众街道的交通情况尚处于规划建设状态，届时会有大量基础设施，楼宇等在此区域建设，人流量、车流量亦会逐渐增大，以及结合中山市各城镇区域交通现况，预估未来将会有大量市内外车流量流动于该区，但由于大队执法民警人力有限，无法及时增派警力进行监管。民众街道部分道路将存在交通拥堵情况，行经车辆不遵守交通秩序，车辆超速、车辆违法</w:t>
      </w:r>
      <w:r>
        <w:rPr>
          <w:sz w:val="21"/>
        </w:rPr>
        <w:t>、违法行为将日渐突出，将严重影响道路交通安全。对民众街道存在问题的主要路口（路段）统计如下：</w:t>
      </w:r>
    </w:p>
    <w:tbl>
      <w:tblPr>
        <w:tblW w:w="0" w:type="auto"/>
        <w:tblBorders>
          <w:top w:val="none" w:color="000000" w:sz="4"/>
          <w:left w:val="none" w:color="000000" w:sz="4"/>
          <w:bottom w:val="none" w:color="000000" w:sz="4"/>
          <w:right w:val="none" w:color="000000" w:sz="4"/>
          <w:insideH w:val="none"/>
          <w:insideV w:val="none"/>
        </w:tblBorders>
      </w:tblPr>
      <w:tblGrid>
        <w:gridCol w:w="412"/>
        <w:gridCol w:w="1600"/>
        <w:gridCol w:w="1210"/>
        <w:gridCol w:w="2424"/>
        <w:gridCol w:w="2657"/>
      </w:tblGrid>
      <w:tr>
        <w:tc>
          <w:tcPr>
            <w:tcW w:type="dxa" w:w="412"/>
            <w:tcBorders>
              <w:top w:val="singl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sz w:val="21"/>
                <w:b/>
              </w:rPr>
              <w:t>序号</w:t>
            </w:r>
          </w:p>
        </w:tc>
        <w:tc>
          <w:tcPr>
            <w:tcW w:type="dxa" w:w="1600"/>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sz w:val="21"/>
                <w:b/>
              </w:rPr>
              <w:t>路口（路段）</w:t>
            </w:r>
          </w:p>
        </w:tc>
        <w:tc>
          <w:tcPr>
            <w:tcW w:type="dxa" w:w="1210"/>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sz w:val="21"/>
                <w:b/>
              </w:rPr>
              <w:t>路口类型</w:t>
            </w:r>
          </w:p>
        </w:tc>
        <w:tc>
          <w:tcPr>
            <w:tcW w:type="dxa" w:w="2424"/>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sz w:val="21"/>
                <w:b/>
              </w:rPr>
              <w:t>道路交通技术监控系统（建设情况）</w:t>
            </w:r>
          </w:p>
        </w:tc>
        <w:tc>
          <w:tcPr>
            <w:tcW w:type="dxa" w:w="2657"/>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sz w:val="21"/>
                <w:b/>
              </w:rPr>
              <w:t>存在问题</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1号路湾涌路口</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T字</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原有交通技术监控系统已损坏</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人民路浪网社区对开</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4车道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人民路</w:t>
            </w:r>
            <w:r>
              <w:rPr>
                <w:sz w:val="21"/>
              </w:rPr>
              <w:t>120号路边</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4车道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阳光大道浪网中学门口</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辅道双向</w:t>
            </w:r>
            <w:r>
              <w:rPr>
                <w:sz w:val="21"/>
              </w:rPr>
              <w:t>2车道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浪网大道正德路口</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T型路口</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浪网大道浪网村委会路口</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4车道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新马路</w:t>
            </w:r>
            <w:r>
              <w:rPr>
                <w:sz w:val="21"/>
              </w:rPr>
              <w:t>1号民众医院门口</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2车道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8</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民众大道中民众中学门口</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8车道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不系安全带、违法变道、压实线等违法行为问题严重</w:t>
            </w:r>
          </w:p>
        </w:tc>
      </w:tr>
      <w:tr>
        <w:tc>
          <w:tcPr>
            <w:tcW w:type="dxa" w:w="412"/>
            <w:tcBorders>
              <w:top w:val="none" w:color="000000" w:sz="4"/>
              <w:left w:val="single" w:color="000000" w:sz="4"/>
              <w:bottom w:val="none" w:color="000000" w:sz="4"/>
              <w:right w:val="single" w:color="000000" w:sz="4"/>
            </w:tcBorders>
            <w:tcMar>
              <w:top w:type="dxa" w:w="0"/>
              <w:left w:type="dxa" w:w="105"/>
              <w:bottom w:type="dxa" w:w="0"/>
              <w:right w:type="dxa" w:w="105"/>
            </w:tcMar>
            <w:vAlign w:val="top"/>
          </w:tcPr>
          <w:p>
            <w:pPr>
              <w:pStyle w:val="null3"/>
              <w:jc w:val="center"/>
            </w:pPr>
            <w:r>
              <w:rPr>
                <w:sz w:val="21"/>
              </w:rPr>
              <w:t>9</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宝泰路</w:t>
            </w:r>
            <w:r>
              <w:rPr>
                <w:sz w:val="21"/>
              </w:rPr>
              <w:t>8号6号对面</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4车道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接源村</w:t>
            </w:r>
            <w:r>
              <w:rPr>
                <w:sz w:val="21"/>
              </w:rPr>
              <w:t>1号路彩信工业园南门</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5车道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none" w:color="000000" w:sz="4"/>
              <w:left w:val="single" w:color="000000" w:sz="4"/>
              <w:bottom w:val="none" w:color="000000" w:sz="4"/>
              <w:right w:val="single" w:color="000000" w:sz="4"/>
            </w:tcBorders>
            <w:tcMar>
              <w:top w:type="dxa" w:w="0"/>
              <w:left w:type="dxa" w:w="105"/>
              <w:bottom w:type="dxa" w:w="0"/>
              <w:right w:type="dxa" w:w="105"/>
            </w:tcMar>
            <w:vAlign w:val="top"/>
          </w:tcPr>
          <w:p>
            <w:pPr>
              <w:pStyle w:val="null3"/>
              <w:jc w:val="center"/>
            </w:pPr>
            <w:r>
              <w:rPr>
                <w:sz w:val="21"/>
              </w:rPr>
              <w:t>11</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中山比亚迪南门</w:t>
            </w:r>
            <w:r>
              <w:rPr>
                <w:sz w:val="21"/>
              </w:rPr>
              <w:t>1号点、 1号路接源村湾涌路口</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4车道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12</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横二线中段</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4车道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singl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jc w:val="center"/>
            </w:pPr>
            <w:r>
              <w:rPr>
                <w:sz w:val="21"/>
              </w:rPr>
              <w:t>车辆超速、不系安全带等违法行为问题严重</w:t>
            </w:r>
          </w:p>
        </w:tc>
      </w:tr>
      <w:tr>
        <w:tc>
          <w:tcPr>
            <w:tcW w:type="dxa" w:w="412"/>
            <w:tcBorders>
              <w:top w:val="none" w:color="000000" w:sz="4"/>
              <w:left w:val="single" w:color="000000" w:sz="4"/>
              <w:bottom w:val="none" w:color="000000" w:sz="4"/>
              <w:right w:val="single" w:color="000000" w:sz="4"/>
            </w:tcBorders>
            <w:tcMar>
              <w:top w:type="dxa" w:w="0"/>
              <w:left w:type="dxa" w:w="105"/>
              <w:bottom w:type="dxa" w:w="0"/>
              <w:right w:type="dxa" w:w="105"/>
            </w:tcMar>
            <w:vAlign w:val="top"/>
          </w:tcPr>
          <w:p>
            <w:pPr>
              <w:pStyle w:val="null3"/>
              <w:jc w:val="center"/>
            </w:pPr>
            <w:r>
              <w:rPr>
                <w:sz w:val="21"/>
              </w:rPr>
              <w:t>13</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六百六路与民众大道中交界路口</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十字路口</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车辆闯红灯、不系安全带、违法变道、压实线等违法行为问题严重</w:t>
            </w:r>
          </w:p>
        </w:tc>
      </w:tr>
      <w:tr>
        <w:tc>
          <w:tcPr>
            <w:tcW w:type="dxa" w:w="41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14</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g228国道多宝路段</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8车道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车辆超速、不系安全带等违法行为问题严重</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15</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众安大道与福一路交界</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T型</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16</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民泰路中路段</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2车道</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17</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仁和路民泰路</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十字路口</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r>
        <w:tc>
          <w:tcPr>
            <w:tcW w:type="dxa" w:w="4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18</w:t>
            </w:r>
          </w:p>
        </w:tc>
        <w:tc>
          <w:tcPr>
            <w:tcW w:type="dxa" w:w="160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民安路</w:t>
            </w:r>
          </w:p>
        </w:tc>
        <w:tc>
          <w:tcPr>
            <w:tcW w:type="dxa" w:w="1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十字路口</w:t>
            </w:r>
          </w:p>
        </w:tc>
        <w:tc>
          <w:tcPr>
            <w:tcW w:type="dxa" w:w="242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未建交通技术监控系统</w:t>
            </w:r>
          </w:p>
        </w:tc>
        <w:tc>
          <w:tcPr>
            <w:tcW w:type="dxa" w:w="265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车辆乱停、逆行、压实线等违法行为问题严重</w:t>
            </w:r>
          </w:p>
        </w:tc>
      </w:tr>
    </w:tbl>
    <w:p>
      <w:pPr>
        <w:pStyle w:val="null3"/>
        <w:spacing w:before="120"/>
        <w:ind w:left="570"/>
        <w:jc w:val="both"/>
        <w:outlineLvl w:val="1"/>
      </w:pPr>
      <w:r>
        <w:rPr>
          <w:sz w:val="21"/>
          <w:b/>
        </w:rPr>
        <w:t>2.2.建设需求及分析</w:t>
      </w:r>
    </w:p>
    <w:p>
      <w:pPr>
        <w:pStyle w:val="null3"/>
        <w:ind w:left="705"/>
        <w:jc w:val="both"/>
        <w:outlineLvl w:val="2"/>
      </w:pPr>
      <w:r>
        <w:rPr>
          <w:sz w:val="21"/>
          <w:b/>
        </w:rPr>
        <w:t>2.2.1.</w:t>
      </w:r>
      <w:r>
        <w:rPr>
          <w:sz w:val="21"/>
          <w:b/>
        </w:rPr>
        <w:t>道路交通技术监控系统前端建设需求</w:t>
      </w:r>
    </w:p>
    <w:p>
      <w:pPr>
        <w:pStyle w:val="null3"/>
        <w:ind w:firstLine="420"/>
        <w:jc w:val="both"/>
      </w:pPr>
      <w:r>
        <w:rPr>
          <w:sz w:val="21"/>
        </w:rPr>
        <w:t>根据对民众街道存在问题的主要路段的情况分析，存在问题的解决办法为建设该路段的交通技术监控系统，新建道路交通技术监控系统实现对民众街道路口进行实时监控，同时自动抓拍违法、违法车辆，杜绝交通违法行为，规范交通秩序，确保行车安全、畅通。结合各路段情况，在相应路段建设交通违法行为电子警察抓拍系统和视频监控手动违法抓拍取证系统。建设需求如下表：</w:t>
      </w:r>
    </w:p>
    <w:tbl>
      <w:tblPr>
        <w:tblW w:w="0" w:type="auto"/>
        <w:tblBorders>
          <w:top w:val="none" w:color="000000" w:sz="4"/>
          <w:left w:val="none" w:color="000000" w:sz="4"/>
          <w:bottom w:val="none" w:color="000000" w:sz="4"/>
          <w:right w:val="none" w:color="000000" w:sz="4"/>
          <w:insideH w:val="none"/>
          <w:insideV w:val="none"/>
        </w:tblBorders>
      </w:tblPr>
      <w:tblGrid>
        <w:gridCol w:w="637"/>
        <w:gridCol w:w="1401"/>
        <w:gridCol w:w="1019"/>
        <w:gridCol w:w="2040"/>
        <w:gridCol w:w="1275"/>
        <w:gridCol w:w="1931"/>
      </w:tblGrid>
      <w:tr>
        <w:tc>
          <w:tcPr>
            <w:tcW w:type="dxa" w:w="637"/>
            <w:tcBorders>
              <w:top w:val="singl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sz w:val="21"/>
                <w:b/>
              </w:rPr>
              <w:t>序号</w:t>
            </w:r>
          </w:p>
        </w:tc>
        <w:tc>
          <w:tcPr>
            <w:tcW w:type="dxa" w:w="1401"/>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sz w:val="21"/>
                <w:b/>
              </w:rPr>
              <w:t>路口（路段）</w:t>
            </w:r>
          </w:p>
        </w:tc>
        <w:tc>
          <w:tcPr>
            <w:tcW w:type="dxa" w:w="1019"/>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sz w:val="21"/>
                <w:b/>
              </w:rPr>
              <w:t>路口类型</w:t>
            </w:r>
          </w:p>
        </w:tc>
        <w:tc>
          <w:tcPr>
            <w:tcW w:type="dxa" w:w="2040"/>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sz w:val="21"/>
                <w:b/>
              </w:rPr>
              <w:t>存在问题</w:t>
            </w:r>
          </w:p>
        </w:tc>
        <w:tc>
          <w:tcPr>
            <w:tcW w:type="dxa" w:w="1275"/>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sz w:val="21"/>
                <w:b/>
              </w:rPr>
              <w:t>解决办法</w:t>
            </w:r>
          </w:p>
        </w:tc>
        <w:tc>
          <w:tcPr>
            <w:tcW w:type="dxa" w:w="1931"/>
            <w:tcBorders>
              <w:top w:val="single" w:color="000000" w:sz="4"/>
              <w:left w:val="none" w:color="000000" w:sz="4"/>
              <w:bottom w:val="single" w:color="000000" w:sz="4"/>
              <w:right w:val="single" w:color="000000" w:sz="4"/>
            </w:tcBorders>
            <w:shd w:fill="F2F2F2"/>
            <w:tcMar>
              <w:top w:type="dxa" w:w="0"/>
              <w:left w:type="dxa" w:w="105"/>
              <w:bottom w:type="dxa" w:w="0"/>
              <w:right w:type="dxa" w:w="105"/>
            </w:tcMar>
            <w:vAlign w:val="top"/>
          </w:tcPr>
          <w:p>
            <w:pPr>
              <w:pStyle w:val="null3"/>
              <w:jc w:val="center"/>
            </w:pPr>
            <w:r>
              <w:rPr>
                <w:sz w:val="21"/>
                <w:b/>
              </w:rPr>
              <w:t>建设需求</w:t>
            </w:r>
          </w:p>
        </w:tc>
      </w:tr>
      <w:tr>
        <w:tc>
          <w:tcPr>
            <w:tcW w:type="dxa" w:w="8303"/>
            <w:gridSpan w:val="6"/>
            <w:tcBorders>
              <w:top w:val="non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both"/>
            </w:pPr>
            <w:r>
              <w:rPr>
                <w:sz w:val="21"/>
                <w:b/>
              </w:rPr>
              <w:t>一、违法变道</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民众大道中民众中学门口</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8车道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车辆违法变道、不礼让行人、驾驶员不系安全带等违法行为问题严重</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新增电子警察监控系统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2个方向的多功能交通违法行为电子警察抓拍系统（含视频监控辅助功能）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六百六路与民众大道中交界路口</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十字路口</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车辆违法变道、闯红灯、驾驶员不系安全带等违法行为问题严重</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新增电子警察监控系统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4个方向的多功能交通违法行为电子警察抓拍系统（含视频监控辅助功能）</w:t>
            </w:r>
          </w:p>
        </w:tc>
      </w:tr>
      <w:tr>
        <w:tc>
          <w:tcPr>
            <w:tcW w:type="dxa" w:w="8303"/>
            <w:gridSpan w:val="6"/>
            <w:tcBorders>
              <w:top w:val="non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both"/>
            </w:pPr>
            <w:r>
              <w:rPr>
                <w:sz w:val="21"/>
                <w:b/>
              </w:rPr>
              <w:t>二、测速</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横二线中段</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6车道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驾驶员不系安全带、车辆超速等违法行为问题严重</w:t>
            </w:r>
            <w:r>
              <w:rPr>
                <w:sz w:val="21"/>
                <w:u w:val="single"/>
              </w:rPr>
              <w:t>，缺少现场视频监控</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新增视频监控系统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2个方向的多功能交通违法行为电子警察抓拍系统、测速系统（含视频监控辅助功能）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g228国道多宝路段</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8车道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驾驶员不系安全带、车辆超速等违法行为问题严重</w:t>
            </w:r>
            <w:r>
              <w:rPr>
                <w:sz w:val="21"/>
                <w:u w:val="single"/>
              </w:rPr>
              <w:t>，缺少现场视频监控</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新增视频监控系统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2个方向的多功能交通违法行为电子警察抓拍系统、测速系统（含视频监控辅助功能）</w:t>
            </w:r>
          </w:p>
        </w:tc>
      </w:tr>
      <w:tr>
        <w:tc>
          <w:tcPr>
            <w:tcW w:type="dxa" w:w="8303"/>
            <w:gridSpan w:val="6"/>
            <w:tcBorders>
              <w:top w:val="none" w:color="000000" w:sz="4"/>
              <w:left w:val="single" w:color="000000" w:sz="4"/>
              <w:bottom w:val="single" w:color="000000" w:sz="4"/>
              <w:right w:val="single" w:color="000000" w:sz="4"/>
            </w:tcBorders>
            <w:shd w:fill="F2F2F2"/>
            <w:tcMar>
              <w:top w:type="dxa" w:w="0"/>
              <w:left w:type="dxa" w:w="105"/>
              <w:bottom w:type="dxa" w:w="0"/>
              <w:right w:type="dxa" w:w="105"/>
            </w:tcMar>
            <w:vAlign w:val="top"/>
          </w:tcPr>
          <w:p>
            <w:pPr>
              <w:pStyle w:val="null3"/>
              <w:jc w:val="both"/>
            </w:pPr>
            <w:r>
              <w:rPr>
                <w:sz w:val="21"/>
                <w:b/>
              </w:rPr>
              <w:t>三、禁停逆行</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1号路湾涌路口</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T字</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车辆乱停、压实线等违法行为问题严重</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新增违法自动抓拍球系统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人民路浪网社区对开</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4车道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缺少视频监控系统</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新增视频监控系统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人民路</w:t>
            </w:r>
            <w:r>
              <w:rPr>
                <w:sz w:val="21"/>
              </w:rPr>
              <w:t>120号路边</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4车道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缺少视频监控系统</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新增</w:t>
            </w:r>
            <w:r>
              <w:rPr>
                <w:sz w:val="21"/>
                <w:u w:val="single"/>
              </w:rPr>
              <w:t>视频监控</w:t>
            </w:r>
            <w:r>
              <w:rPr>
                <w:sz w:val="21"/>
              </w:rPr>
              <w:t>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阳光大道浪网中学门口</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辅道双向</w:t>
            </w:r>
            <w:r>
              <w:rPr>
                <w:sz w:val="21"/>
              </w:rPr>
              <w:t>2车道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车辆乱停、压实线等违法行为问题严重</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新增违法自动抓拍球系统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浪网大道正德路口</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T型路口</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车辆乱停、压实线等违法行为问题严重</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新增违法自动抓拍球系统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浪网大道浪网村委会路口</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4车道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车辆乱停、压实线等违法行为问题严重</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新增违法自动抓拍球系统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新马路</w:t>
            </w:r>
            <w:r>
              <w:rPr>
                <w:sz w:val="21"/>
              </w:rPr>
              <w:t>1号民众医院门口</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2车道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车辆乱停、压实线等违法行为问题严重</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新增违法自动抓拍球系统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8</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宝泰路</w:t>
            </w:r>
            <w:r>
              <w:rPr>
                <w:sz w:val="21"/>
              </w:rPr>
              <w:t>8号对开</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4车道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缺少视频监控系统</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新增视频监控系统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接源村</w:t>
            </w:r>
            <w:r>
              <w:rPr>
                <w:sz w:val="21"/>
              </w:rPr>
              <w:t>1号路彩信工业园南门</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5车道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缺少视频监控系统</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新增视频监控系统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中山比亚迪南门</w:t>
            </w:r>
            <w:r>
              <w:rPr>
                <w:sz w:val="21"/>
              </w:rPr>
              <w:t>1号点</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4车道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缺少视频监控系统</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新增视频监控系统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11</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众安大道与福一路交界</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T型</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车辆乱停、压实线等违法行为问题严重</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新增违法自动抓拍球系统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12</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民泰路中路段</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双向</w:t>
            </w:r>
            <w:r>
              <w:rPr>
                <w:sz w:val="21"/>
              </w:rPr>
              <w:t>2车道</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缺少视频监控系统</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u w:val="single"/>
              </w:rPr>
              <w:t>新增视频监控系统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13</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仁和路民泰路</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十字路口</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车辆乱停、压实线等违法行为问题严重</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新增违法自动抓拍球系统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r>
        <w:tc>
          <w:tcPr>
            <w:tcW w:type="dxa" w:w="6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14</w:t>
            </w:r>
          </w:p>
        </w:tc>
        <w:tc>
          <w:tcPr>
            <w:tcW w:type="dxa" w:w="140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民安路</w:t>
            </w:r>
          </w:p>
        </w:tc>
        <w:tc>
          <w:tcPr>
            <w:tcW w:type="dxa" w:w="10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十字路口</w:t>
            </w:r>
          </w:p>
        </w:tc>
        <w:tc>
          <w:tcPr>
            <w:tcW w:type="dxa" w:w="20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车辆乱停、压实线等违法行为问题严重</w:t>
            </w:r>
          </w:p>
        </w:tc>
        <w:tc>
          <w:tcPr>
            <w:tcW w:type="dxa" w:w="12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新增违法自动抓拍球系统</w:t>
            </w:r>
          </w:p>
        </w:tc>
        <w:tc>
          <w:tcPr>
            <w:tcW w:type="dxa" w:w="193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r>
    </w:tbl>
    <w:p>
      <w:pPr>
        <w:pStyle w:val="null3"/>
        <w:ind w:left="705"/>
        <w:jc w:val="both"/>
        <w:outlineLvl w:val="2"/>
      </w:pPr>
      <w:r>
        <w:rPr>
          <w:sz w:val="21"/>
          <w:b/>
        </w:rPr>
        <w:t>2.2.2.</w:t>
      </w:r>
      <w:r>
        <w:rPr>
          <w:sz w:val="21"/>
          <w:b/>
        </w:rPr>
        <w:t>平台建设需求及分析</w:t>
      </w:r>
    </w:p>
    <w:p>
      <w:pPr>
        <w:pStyle w:val="null3"/>
        <w:ind w:left="705"/>
        <w:jc w:val="both"/>
        <w:outlineLvl w:val="2"/>
      </w:pPr>
      <w:r>
        <w:rPr>
          <w:sz w:val="21"/>
          <w:b/>
        </w:rPr>
        <w:t>2.2.2.1.</w:t>
      </w:r>
      <w:r>
        <w:rPr>
          <w:sz w:val="21"/>
          <w:b/>
        </w:rPr>
        <w:t>本项目所需处理的数据量</w:t>
      </w:r>
    </w:p>
    <w:p>
      <w:pPr>
        <w:pStyle w:val="null3"/>
        <w:ind w:firstLine="420"/>
        <w:jc w:val="both"/>
      </w:pPr>
      <w:r>
        <w:rPr>
          <w:sz w:val="21"/>
        </w:rPr>
        <w:t>根据本项目的建设规模</w:t>
      </w:r>
      <w:r>
        <w:rPr>
          <w:sz w:val="21"/>
        </w:rPr>
        <w:t>,设置不低于500万卡口抓拍单元（抓拍车头）1台、不低于900万卡口抓拍单元（抓拍车头）</w:t>
      </w:r>
      <w:r>
        <w:rPr>
          <w:sz w:val="21"/>
        </w:rPr>
        <w:t>2</w:t>
      </w:r>
      <w:r>
        <w:rPr>
          <w:sz w:val="21"/>
        </w:rPr>
        <w:t>3台、不低于</w:t>
      </w:r>
      <w:r>
        <w:rPr>
          <w:sz w:val="21"/>
        </w:rPr>
        <w:t>9</w:t>
      </w:r>
      <w:r>
        <w:rPr>
          <w:sz w:val="21"/>
        </w:rPr>
        <w:t>00万电警抓拍单元（抓拍车尾）</w:t>
      </w:r>
      <w:r>
        <w:rPr>
          <w:sz w:val="21"/>
        </w:rPr>
        <w:t>4</w:t>
      </w:r>
      <w:r>
        <w:rPr>
          <w:sz w:val="21"/>
        </w:rPr>
        <w:t>台、不低于</w:t>
      </w:r>
      <w:r>
        <w:rPr>
          <w:sz w:val="21"/>
        </w:rPr>
        <w:t>50</w:t>
      </w:r>
      <w:r>
        <w:rPr>
          <w:sz w:val="21"/>
        </w:rPr>
        <w:t>0万电警抓拍单元（抓拍车尾）</w:t>
      </w:r>
      <w:r>
        <w:rPr>
          <w:sz w:val="21"/>
        </w:rPr>
        <w:t>2</w:t>
      </w:r>
      <w:r>
        <w:rPr>
          <w:sz w:val="21"/>
        </w:rPr>
        <w:t>台、视频监控点位共</w:t>
      </w:r>
      <w:r>
        <w:rPr>
          <w:sz w:val="21"/>
        </w:rPr>
        <w:t>28</w:t>
      </w:r>
      <w:r>
        <w:rPr>
          <w:sz w:val="21"/>
        </w:rPr>
        <w:t>套。</w:t>
      </w:r>
    </w:p>
    <w:p>
      <w:pPr>
        <w:pStyle w:val="null3"/>
        <w:ind w:firstLine="420"/>
        <w:jc w:val="both"/>
      </w:pPr>
      <w:r>
        <w:rPr>
          <w:sz w:val="21"/>
        </w:rPr>
        <w:t>系统数据存储主要有：交通违法行为信息数据、交通视频信息数据。其他相关数据相对较小，并且数量也视乎实际情况相对而定。数据量较少，可忽略不计。</w:t>
      </w:r>
    </w:p>
    <w:p>
      <w:pPr>
        <w:pStyle w:val="null3"/>
        <w:ind w:firstLine="420"/>
        <w:jc w:val="both"/>
      </w:pPr>
      <w:r>
        <w:rPr>
          <w:sz w:val="21"/>
        </w:rPr>
        <w:t>2.2.2.1.1.交通违法信息</w:t>
      </w:r>
      <w:r>
        <w:rPr>
          <w:sz w:val="21"/>
        </w:rPr>
        <w:t>数据量</w:t>
      </w:r>
    </w:p>
    <w:p>
      <w:pPr>
        <w:pStyle w:val="null3"/>
        <w:ind w:firstLine="420"/>
        <w:jc w:val="both"/>
      </w:pPr>
      <w:r>
        <w:rPr>
          <w:sz w:val="21"/>
        </w:rPr>
        <w:t>根据本项目的建设规模，</w:t>
      </w:r>
      <w:r>
        <w:rPr>
          <w:sz w:val="21"/>
        </w:rPr>
        <w:t>设置不低于</w:t>
      </w:r>
      <w:r>
        <w:rPr>
          <w:sz w:val="21"/>
        </w:rPr>
        <w:t>500万像素反向卡口抓拍摄像机（抓拍车头）1台监控车道</w:t>
      </w:r>
      <w:r>
        <w:rPr>
          <w:sz w:val="21"/>
          <w:b/>
        </w:rPr>
        <w:t>1车道</w:t>
      </w:r>
      <w:r>
        <w:rPr>
          <w:sz w:val="21"/>
        </w:rPr>
        <w:t>；设置不低于</w:t>
      </w:r>
      <w:r>
        <w:rPr>
          <w:sz w:val="21"/>
        </w:rPr>
        <w:t>900万像素反向卡口抓拍摄像机（抓拍车头）</w:t>
      </w:r>
      <w:r>
        <w:rPr>
          <w:sz w:val="21"/>
        </w:rPr>
        <w:t>2</w:t>
      </w:r>
      <w:r>
        <w:rPr>
          <w:sz w:val="21"/>
        </w:rPr>
        <w:t>3台监控车道</w:t>
      </w:r>
      <w:r>
        <w:rPr>
          <w:sz w:val="21"/>
          <w:b/>
        </w:rPr>
        <w:t>4</w:t>
      </w:r>
      <w:r>
        <w:rPr>
          <w:sz w:val="21"/>
          <w:b/>
        </w:rPr>
        <w:t>6车道</w:t>
      </w:r>
      <w:r>
        <w:rPr>
          <w:sz w:val="21"/>
        </w:rPr>
        <w:t>；设置不低于</w:t>
      </w:r>
      <w:r>
        <w:rPr>
          <w:sz w:val="21"/>
        </w:rPr>
        <w:t>9</w:t>
      </w:r>
      <w:r>
        <w:rPr>
          <w:sz w:val="21"/>
        </w:rPr>
        <w:t>00万像素电子警察抓拍摄像机（抓拍车尾）</w:t>
      </w:r>
      <w:r>
        <w:rPr>
          <w:sz w:val="21"/>
        </w:rPr>
        <w:t>4</w:t>
      </w:r>
      <w:r>
        <w:rPr>
          <w:sz w:val="21"/>
        </w:rPr>
        <w:t>台监控车道</w:t>
      </w:r>
      <w:r>
        <w:rPr>
          <w:sz w:val="21"/>
          <w:b/>
        </w:rPr>
        <w:t>12车道</w:t>
      </w:r>
      <w:r>
        <w:rPr>
          <w:sz w:val="21"/>
        </w:rPr>
        <w:t>；设置不低于</w:t>
      </w:r>
      <w:r>
        <w:rPr>
          <w:sz w:val="21"/>
        </w:rPr>
        <w:t>5</w:t>
      </w:r>
      <w:r>
        <w:rPr>
          <w:sz w:val="21"/>
        </w:rPr>
        <w:t>00万像素电子警察抓拍摄像机（抓拍车尾）</w:t>
      </w:r>
      <w:r>
        <w:rPr>
          <w:sz w:val="21"/>
        </w:rPr>
        <w:t>2</w:t>
      </w:r>
      <w:r>
        <w:rPr>
          <w:sz w:val="21"/>
        </w:rPr>
        <w:t>台监控车道</w:t>
      </w:r>
      <w:r>
        <w:rPr>
          <w:sz w:val="21"/>
          <w:b/>
        </w:rPr>
        <w:t>4</w:t>
      </w:r>
      <w:r>
        <w:rPr>
          <w:sz w:val="21"/>
          <w:b/>
        </w:rPr>
        <w:t>车道</w:t>
      </w:r>
      <w:r>
        <w:rPr>
          <w:sz w:val="21"/>
        </w:rPr>
        <w:t>；</w:t>
      </w:r>
      <w:r>
        <w:rPr>
          <w:sz w:val="21"/>
        </w:rPr>
        <w:t>设置有枪球一体机</w:t>
      </w:r>
      <w:r>
        <w:rPr>
          <w:sz w:val="21"/>
        </w:rPr>
        <w:t>28</w:t>
      </w:r>
      <w:r>
        <w:rPr>
          <w:sz w:val="21"/>
        </w:rPr>
        <w:t>台监控</w:t>
      </w:r>
      <w:r>
        <w:rPr>
          <w:sz w:val="21"/>
          <w:b/>
        </w:rPr>
        <w:t>56</w:t>
      </w:r>
      <w:r>
        <w:rPr>
          <w:sz w:val="21"/>
          <w:b/>
        </w:rPr>
        <w:t>个方向</w:t>
      </w:r>
      <w:r>
        <w:rPr>
          <w:sz w:val="21"/>
        </w:rPr>
        <w:t>。</w:t>
      </w:r>
    </w:p>
    <w:tbl>
      <w:tblPr>
        <w:tblW w:w="0" w:type="auto"/>
        <w:tblBorders>
          <w:top w:val="none" w:color="000000" w:sz="4"/>
          <w:left w:val="none" w:color="000000" w:sz="4"/>
          <w:bottom w:val="none" w:color="000000" w:sz="4"/>
          <w:right w:val="none" w:color="000000" w:sz="4"/>
          <w:insideH w:val="none"/>
          <w:insideV w:val="none"/>
        </w:tblBorders>
      </w:tblPr>
      <w:tblGrid>
        <w:gridCol w:w="1840"/>
        <w:gridCol w:w="1339"/>
        <w:gridCol w:w="761"/>
        <w:gridCol w:w="2496"/>
        <w:gridCol w:w="1870"/>
      </w:tblGrid>
      <w:tr>
        <w:tc>
          <w:tcPr>
            <w:tcW w:type="dxa" w:w="8306"/>
            <w:gridSpan w:val="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自动记录的交通违法信息数据量（不低于</w:t>
            </w:r>
            <w:r>
              <w:rPr>
                <w:sz w:val="21"/>
                <w:b/>
              </w:rPr>
              <w:t>800万像素全结构化抓拍摄像机）</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抓拍车尾方向，监控车道数量</w:t>
            </w:r>
            <w:r>
              <w:rPr>
                <w:sz w:val="21"/>
              </w:rPr>
              <w:t>(条)</w:t>
            </w:r>
          </w:p>
        </w:tc>
        <w:tc>
          <w:tcPr>
            <w:tcW w:type="dxa" w:w="2100"/>
            <w:gridSpan w:val="2"/>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1天的车辆交通违法信息数量(条)</w:t>
            </w:r>
          </w:p>
        </w:tc>
        <w:tc>
          <w:tcPr>
            <w:tcW w:type="dxa" w:w="249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1天的数据量(MB)</w:t>
            </w:r>
          </w:p>
        </w:tc>
        <w:tc>
          <w:tcPr>
            <w:tcW w:type="dxa" w:w="187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365天的数据量(TB)</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基础参数</w:t>
            </w:r>
          </w:p>
        </w:tc>
        <w:tc>
          <w:tcPr>
            <w:tcW w:type="dxa" w:w="13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300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1054.69</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0.37</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本期</w:t>
            </w:r>
          </w:p>
        </w:tc>
        <w:tc>
          <w:tcPr>
            <w:tcW w:type="dxa" w:w="1339"/>
            <w:tcBorders>
              <w:top w:val="none" w:color="000000" w:sz="4"/>
              <w:left w:val="non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rPr>
              <w:t>0</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r>
      <w:tr>
        <w:tc>
          <w:tcPr>
            <w:tcW w:type="dxa" w:w="8306"/>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自动记录的交通违法信息数据量（不低于</w:t>
            </w:r>
            <w:r>
              <w:rPr>
                <w:sz w:val="21"/>
                <w:b/>
              </w:rPr>
              <w:t>900万像素反向卡口抓拍摄像机）</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抓拍车尾方向，监控车道数量</w:t>
            </w:r>
            <w:r>
              <w:rPr>
                <w:sz w:val="21"/>
              </w:rPr>
              <w:t>(条)</w:t>
            </w:r>
          </w:p>
        </w:tc>
        <w:tc>
          <w:tcPr>
            <w:tcW w:type="dxa" w:w="2100"/>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1天的车辆交通违法信息数量(条)</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1天的数据量(MB)</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365天的数据量(TB)</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基础参数</w:t>
            </w:r>
          </w:p>
        </w:tc>
        <w:tc>
          <w:tcPr>
            <w:tcW w:type="dxa" w:w="13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300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1054.69</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0.37</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本期</w:t>
            </w:r>
          </w:p>
        </w:tc>
        <w:tc>
          <w:tcPr>
            <w:tcW w:type="dxa" w:w="1339"/>
            <w:tcBorders>
              <w:top w:val="none" w:color="000000" w:sz="4"/>
              <w:left w:val="non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rPr>
              <w:t>46</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13800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48515.625</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16.88785851</w:t>
            </w:r>
          </w:p>
        </w:tc>
      </w:tr>
      <w:tr>
        <w:tc>
          <w:tcPr>
            <w:tcW w:type="dxa" w:w="8306"/>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自动记录的交通违法信息数据量（不低于</w:t>
            </w:r>
            <w:r>
              <w:rPr>
                <w:sz w:val="21"/>
                <w:b/>
              </w:rPr>
              <w:t>500万像素反向卡口抓拍摄像机）</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抓拍车尾方向，监控车道数量</w:t>
            </w:r>
            <w:r>
              <w:rPr>
                <w:sz w:val="21"/>
              </w:rPr>
              <w:t>(条)</w:t>
            </w:r>
          </w:p>
        </w:tc>
        <w:tc>
          <w:tcPr>
            <w:tcW w:type="dxa" w:w="2100"/>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1天的车辆交通违法信息数量(条)</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1天的数据量(MB)</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365天的数据量(TB)</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基础参数</w:t>
            </w:r>
          </w:p>
        </w:tc>
        <w:tc>
          <w:tcPr>
            <w:tcW w:type="dxa" w:w="13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300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527.34</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0.18</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本期</w:t>
            </w:r>
          </w:p>
        </w:tc>
        <w:tc>
          <w:tcPr>
            <w:tcW w:type="dxa" w:w="1339"/>
            <w:tcBorders>
              <w:top w:val="none" w:color="000000" w:sz="4"/>
              <w:left w:val="non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rPr>
              <w:t>1</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300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527.34375</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0.183563679</w:t>
            </w:r>
          </w:p>
        </w:tc>
      </w:tr>
      <w:tr>
        <w:tc>
          <w:tcPr>
            <w:tcW w:type="dxa" w:w="8306"/>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自动记录的交通违法信息数据量（不低于</w:t>
            </w:r>
            <w:r>
              <w:rPr>
                <w:sz w:val="21"/>
                <w:b/>
              </w:rPr>
              <w:t>900万像素电警抓拍摄像机）</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抓拍车尾方向，监控车道数量</w:t>
            </w:r>
            <w:r>
              <w:rPr>
                <w:sz w:val="21"/>
              </w:rPr>
              <w:t>(条)</w:t>
            </w:r>
          </w:p>
        </w:tc>
        <w:tc>
          <w:tcPr>
            <w:tcW w:type="dxa" w:w="2100"/>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1天的车辆交通违法信息数量(条)</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1天的数据量(MB)</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365天的数据量(TB)</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基础参数</w:t>
            </w:r>
          </w:p>
        </w:tc>
        <w:tc>
          <w:tcPr>
            <w:tcW w:type="dxa" w:w="13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300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1054.69</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0.37</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本期</w:t>
            </w:r>
          </w:p>
        </w:tc>
        <w:tc>
          <w:tcPr>
            <w:tcW w:type="dxa" w:w="1339"/>
            <w:tcBorders>
              <w:top w:val="none" w:color="000000" w:sz="4"/>
              <w:left w:val="non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rPr>
              <w:t>12</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3600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12656.25</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4.41</w:t>
            </w:r>
          </w:p>
        </w:tc>
      </w:tr>
      <w:tr>
        <w:tc>
          <w:tcPr>
            <w:tcW w:type="dxa" w:w="8306"/>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自动记录的交通违法信息数据量（不低于</w:t>
            </w:r>
            <w:r>
              <w:rPr>
                <w:sz w:val="21"/>
                <w:b/>
              </w:rPr>
              <w:t>500万像素电警抓拍摄像机）</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抓拍车尾方向，监控车道数量</w:t>
            </w:r>
            <w:r>
              <w:rPr>
                <w:sz w:val="21"/>
              </w:rPr>
              <w:t>(条)</w:t>
            </w:r>
          </w:p>
        </w:tc>
        <w:tc>
          <w:tcPr>
            <w:tcW w:type="dxa" w:w="2100"/>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1天的车辆交通违法信息数量(条)</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1天的数据量(MB)</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365天的数据量(TB)</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基础参数</w:t>
            </w:r>
          </w:p>
        </w:tc>
        <w:tc>
          <w:tcPr>
            <w:tcW w:type="dxa" w:w="13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300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527.34</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0.18</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本期</w:t>
            </w:r>
          </w:p>
        </w:tc>
        <w:tc>
          <w:tcPr>
            <w:tcW w:type="dxa" w:w="1339"/>
            <w:tcBorders>
              <w:top w:val="none" w:color="000000" w:sz="4"/>
              <w:left w:val="non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rPr>
              <w:t>4</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1200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2109.38</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0.73</w:t>
            </w:r>
          </w:p>
        </w:tc>
      </w:tr>
      <w:tr>
        <w:tc>
          <w:tcPr>
            <w:tcW w:type="dxa" w:w="8306"/>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自动记录的交通违法信息数据量（不低于</w:t>
            </w:r>
            <w:r>
              <w:rPr>
                <w:sz w:val="21"/>
                <w:b/>
              </w:rPr>
              <w:t>400万像素违停抓拍单元）</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监控方向数量（方向）</w:t>
            </w:r>
          </w:p>
        </w:tc>
        <w:tc>
          <w:tcPr>
            <w:tcW w:type="dxa" w:w="2100"/>
            <w:gridSpan w:val="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1天的车辆交通违法信息数量(条)</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1天的数据量(MB)</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365天的数据量(TB)</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基础参数</w:t>
            </w:r>
          </w:p>
        </w:tc>
        <w:tc>
          <w:tcPr>
            <w:tcW w:type="dxa" w:w="133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300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439.45</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0.15</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本期</w:t>
            </w:r>
          </w:p>
        </w:tc>
        <w:tc>
          <w:tcPr>
            <w:tcW w:type="dxa" w:w="1339"/>
            <w:tcBorders>
              <w:top w:val="none" w:color="000000" w:sz="4"/>
              <w:left w:val="non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rPr>
              <w:t>56</w:t>
            </w: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16800</w:t>
            </w: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24609.38</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8.57</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备注</w:t>
            </w:r>
          </w:p>
        </w:tc>
        <w:tc>
          <w:tcPr>
            <w:tcW w:type="dxa" w:w="6466"/>
            <w:gridSpan w:val="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1、根据民众街道交警大队反映，按每个道路平均抓拍300辆/天违法车辆考虑</w:t>
            </w:r>
          </w:p>
          <w:p>
            <w:pPr>
              <w:pStyle w:val="null3"/>
              <w:jc w:val="both"/>
            </w:pPr>
            <w:r>
              <w:rPr>
                <w:sz w:val="21"/>
              </w:rPr>
              <w:t>2、根据系统对交通违法信息记录要求情况，本期不低于400万像素的抓拍摄像机生成的交通违法图片按500KB/张考虑，不低于900万像素的抓拍摄像机生成的交通违法图片按1200KB/张考虑，不低于500万像素的抓拍摄像机生成的交通违法图片按600KB/张考虑；</w:t>
            </w:r>
          </w:p>
          <w:p>
            <w:pPr>
              <w:pStyle w:val="null3"/>
              <w:jc w:val="both"/>
            </w:pPr>
            <w:r>
              <w:rPr>
                <w:sz w:val="21"/>
              </w:rPr>
              <w:t>3、根据系统对交通违法信息记录要求情况，且每条违法行为需抓拍至少3张违法图片。</w:t>
            </w:r>
          </w:p>
        </w:tc>
      </w:tr>
      <w:tr>
        <w:tc>
          <w:tcPr>
            <w:tcW w:type="dxa" w:w="1840"/>
            <w:tcBorders>
              <w:top w:val="none" w:color="000000" w:sz="4"/>
              <w:left w:val="single" w:color="000000" w:sz="4"/>
              <w:bottom w:val="single" w:color="000000" w:sz="4"/>
              <w:right w:val="single" w:color="000000" w:sz="4"/>
            </w:tcBorders>
            <w:tcMar>
              <w:top w:type="dxa" w:w="0"/>
              <w:left w:type="dxa" w:w="105"/>
              <w:bottom w:type="dxa" w:w="0"/>
              <w:right w:type="dxa" w:w="105"/>
            </w:tcMar>
            <w:vAlign w:val="bottom"/>
          </w:tcPr>
          <w:p>
            <w:pPr>
              <w:pStyle w:val="null3"/>
              <w:jc w:val="both"/>
            </w:pPr>
          </w:p>
        </w:tc>
        <w:tc>
          <w:tcPr>
            <w:tcW w:type="dxa" w:w="1339"/>
            <w:tcBorders>
              <w:top w:val="none" w:color="000000" w:sz="4"/>
              <w:left w:val="none" w:color="000000" w:sz="4"/>
              <w:bottom w:val="single" w:color="000000" w:sz="4"/>
              <w:right w:val="single" w:color="000000" w:sz="4"/>
            </w:tcBorders>
            <w:tcMar>
              <w:top w:type="dxa" w:w="0"/>
              <w:left w:type="dxa" w:w="105"/>
              <w:bottom w:type="dxa" w:w="0"/>
              <w:right w:type="dxa" w:w="105"/>
            </w:tcMar>
            <w:vAlign w:val="bottom"/>
          </w:tcPr>
          <w:p/>
        </w:tc>
        <w:tc>
          <w:tcPr>
            <w:tcW w:type="dxa" w:w="761"/>
            <w:tcBorders>
              <w:top w:val="none" w:color="000000" w:sz="4"/>
              <w:left w:val="none" w:color="000000" w:sz="4"/>
              <w:bottom w:val="single" w:color="000000" w:sz="4"/>
              <w:right w:val="single" w:color="000000" w:sz="4"/>
            </w:tcBorders>
            <w:tcMar>
              <w:top w:type="dxa" w:w="0"/>
              <w:left w:type="dxa" w:w="105"/>
              <w:bottom w:type="dxa" w:w="0"/>
              <w:right w:type="dxa" w:w="105"/>
            </w:tcMar>
            <w:vAlign w:val="bottom"/>
          </w:tcPr>
          <w:p/>
        </w:tc>
        <w:tc>
          <w:tcPr>
            <w:tcW w:type="dxa" w:w="2496"/>
            <w:tcBorders>
              <w:top w:val="none" w:color="000000" w:sz="4"/>
              <w:left w:val="none" w:color="000000" w:sz="4"/>
              <w:bottom w:val="single" w:color="000000" w:sz="4"/>
              <w:right w:val="single" w:color="000000" w:sz="4"/>
            </w:tcBorders>
            <w:tcMar>
              <w:top w:type="dxa" w:w="0"/>
              <w:left w:type="dxa" w:w="105"/>
              <w:bottom w:type="dxa" w:w="0"/>
              <w:right w:type="dxa" w:w="105"/>
            </w:tcMar>
            <w:vAlign w:val="bottom"/>
          </w:tcPr>
          <w:p>
            <w:pPr>
              <w:pStyle w:val="null3"/>
              <w:jc w:val="center"/>
            </w:pPr>
            <w:r>
              <w:rPr>
                <w:sz w:val="21"/>
              </w:rPr>
              <w:t>小计</w:t>
            </w:r>
          </w:p>
        </w:tc>
        <w:tc>
          <w:tcPr>
            <w:tcW w:type="dxa" w:w="187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30.78</w:t>
            </w:r>
          </w:p>
        </w:tc>
      </w:tr>
    </w:tbl>
    <w:p>
      <w:pPr>
        <w:pStyle w:val="null3"/>
        <w:ind w:left="990"/>
        <w:jc w:val="both"/>
        <w:outlineLvl w:val="4"/>
      </w:pPr>
      <w:r>
        <w:rPr>
          <w:sz w:val="21"/>
          <w:b/>
        </w:rPr>
        <w:t>2.2.2.1.2.车辆通行信息(卡口信息)数据量</w:t>
      </w:r>
    </w:p>
    <w:p>
      <w:pPr>
        <w:pStyle w:val="null3"/>
        <w:ind w:firstLine="420"/>
        <w:jc w:val="both"/>
      </w:pPr>
      <w:r>
        <w:rPr>
          <w:sz w:val="21"/>
        </w:rPr>
        <w:t>根据本项目的建设规模，</w:t>
      </w:r>
      <w:r>
        <w:rPr>
          <w:sz w:val="21"/>
        </w:rPr>
        <w:t>设置不低于</w:t>
      </w:r>
      <w:r>
        <w:rPr>
          <w:sz w:val="21"/>
        </w:rPr>
        <w:t>900万像素反向卡口抓拍摄像机（抓拍车头）</w:t>
      </w:r>
      <w:r>
        <w:rPr>
          <w:sz w:val="21"/>
        </w:rPr>
        <w:t>2</w:t>
      </w:r>
      <w:r>
        <w:rPr>
          <w:sz w:val="21"/>
        </w:rPr>
        <w:t>3台监控车道</w:t>
      </w:r>
      <w:r>
        <w:rPr>
          <w:sz w:val="21"/>
          <w:b/>
        </w:rPr>
        <w:t>46车道；</w:t>
      </w:r>
      <w:r>
        <w:rPr>
          <w:sz w:val="21"/>
        </w:rPr>
        <w:t>设置不低于</w:t>
      </w:r>
      <w:r>
        <w:rPr>
          <w:sz w:val="21"/>
        </w:rPr>
        <w:t>500万像素反向卡口抓拍摄像机（抓拍车头）1台监控车道</w:t>
      </w:r>
      <w:r>
        <w:rPr>
          <w:sz w:val="21"/>
          <w:b/>
        </w:rPr>
        <w:t>1车道</w:t>
      </w:r>
      <w:r>
        <w:rPr>
          <w:sz w:val="21"/>
        </w:rPr>
        <w:t>。</w:t>
      </w:r>
      <w:r>
        <w:rPr>
          <w:sz w:val="21"/>
        </w:rPr>
        <w:t xml:space="preserve"> </w:t>
      </w:r>
    </w:p>
    <w:tbl>
      <w:tblPr>
        <w:tblW w:w="0" w:type="auto"/>
        <w:tblBorders>
          <w:top w:val="none" w:color="000000" w:sz="4"/>
          <w:left w:val="none" w:color="000000" w:sz="4"/>
          <w:bottom w:val="none" w:color="000000" w:sz="4"/>
          <w:right w:val="none" w:color="000000" w:sz="4"/>
          <w:insideH w:val="none"/>
          <w:insideV w:val="none"/>
        </w:tblBorders>
      </w:tblPr>
      <w:tblGrid>
        <w:gridCol w:w="1409"/>
        <w:gridCol w:w="811"/>
        <w:gridCol w:w="2116"/>
        <w:gridCol w:w="1708"/>
        <w:gridCol w:w="2262"/>
      </w:tblGrid>
      <w:tr>
        <w:tc>
          <w:tcPr>
            <w:tcW w:type="dxa" w:w="8306"/>
            <w:gridSpan w:val="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自动记录的车辆通行信息</w:t>
            </w:r>
            <w:r>
              <w:rPr>
                <w:sz w:val="21"/>
                <w:b/>
              </w:rPr>
              <w:t>(卡口信息)数据量（500万）</w:t>
            </w:r>
          </w:p>
        </w:tc>
      </w:tr>
      <w:tr>
        <w:tc>
          <w:tcPr>
            <w:tcW w:type="dxa" w:w="14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81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车道数</w:t>
            </w:r>
            <w:r>
              <w:rPr>
                <w:sz w:val="21"/>
              </w:rPr>
              <w:t>(条)</w:t>
            </w:r>
          </w:p>
        </w:tc>
        <w:tc>
          <w:tcPr>
            <w:tcW w:type="dxa" w:w="21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1天的车辆通行信息数量(条)</w:t>
            </w:r>
          </w:p>
        </w:tc>
        <w:tc>
          <w:tcPr>
            <w:tcW w:type="dxa" w:w="17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1天的数据量(MB)</w:t>
            </w:r>
          </w:p>
        </w:tc>
        <w:tc>
          <w:tcPr>
            <w:tcW w:type="dxa" w:w="226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180天的数据量(TB)</w:t>
            </w:r>
          </w:p>
        </w:tc>
      </w:tr>
      <w:tr>
        <w:tc>
          <w:tcPr>
            <w:tcW w:type="dxa" w:w="14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基础参数</w:t>
            </w:r>
          </w:p>
        </w:tc>
        <w:tc>
          <w:tcPr>
            <w:tcW w:type="dxa" w:w="81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21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5000</w:t>
            </w:r>
          </w:p>
        </w:tc>
        <w:tc>
          <w:tcPr>
            <w:tcW w:type="dxa" w:w="17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5859.38</w:t>
            </w:r>
          </w:p>
        </w:tc>
        <w:tc>
          <w:tcPr>
            <w:tcW w:type="dxa" w:w="226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1.01</w:t>
            </w:r>
          </w:p>
        </w:tc>
      </w:tr>
      <w:tr>
        <w:tc>
          <w:tcPr>
            <w:tcW w:type="dxa" w:w="14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本项目</w:t>
            </w:r>
          </w:p>
        </w:tc>
        <w:tc>
          <w:tcPr>
            <w:tcW w:type="dxa" w:w="811"/>
            <w:tcBorders>
              <w:top w:val="none" w:color="000000" w:sz="4"/>
              <w:left w:val="non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rPr>
              <w:t>6</w:t>
            </w:r>
          </w:p>
        </w:tc>
        <w:tc>
          <w:tcPr>
            <w:tcW w:type="dxa" w:w="21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30000</w:t>
            </w:r>
          </w:p>
        </w:tc>
        <w:tc>
          <w:tcPr>
            <w:tcW w:type="dxa" w:w="17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5859.375</w:t>
            </w:r>
          </w:p>
        </w:tc>
        <w:tc>
          <w:tcPr>
            <w:tcW w:type="dxa" w:w="226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1.005828381</w:t>
            </w:r>
          </w:p>
        </w:tc>
      </w:tr>
      <w:tr>
        <w:tc>
          <w:tcPr>
            <w:tcW w:type="dxa" w:w="8306"/>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自动记录的车辆通行信息</w:t>
            </w:r>
            <w:r>
              <w:rPr>
                <w:sz w:val="21"/>
                <w:b/>
              </w:rPr>
              <w:t>(卡口信息)数据量（900万）</w:t>
            </w:r>
          </w:p>
        </w:tc>
      </w:tr>
      <w:tr>
        <w:tc>
          <w:tcPr>
            <w:tcW w:type="dxa" w:w="14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p>
        </w:tc>
        <w:tc>
          <w:tcPr>
            <w:tcW w:type="dxa" w:w="81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车道数</w:t>
            </w:r>
            <w:r>
              <w:rPr>
                <w:sz w:val="21"/>
              </w:rPr>
              <w:t>(条)</w:t>
            </w:r>
          </w:p>
        </w:tc>
        <w:tc>
          <w:tcPr>
            <w:tcW w:type="dxa" w:w="21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1天的车辆通行信息数量(条)</w:t>
            </w:r>
          </w:p>
        </w:tc>
        <w:tc>
          <w:tcPr>
            <w:tcW w:type="dxa" w:w="17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1天的数据量(MB)</w:t>
            </w:r>
          </w:p>
        </w:tc>
        <w:tc>
          <w:tcPr>
            <w:tcW w:type="dxa" w:w="226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180天的数据量(TB)</w:t>
            </w:r>
          </w:p>
        </w:tc>
      </w:tr>
      <w:tr>
        <w:tc>
          <w:tcPr>
            <w:tcW w:type="dxa" w:w="14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基础参数</w:t>
            </w:r>
          </w:p>
        </w:tc>
        <w:tc>
          <w:tcPr>
            <w:tcW w:type="dxa" w:w="81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21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5000</w:t>
            </w:r>
          </w:p>
        </w:tc>
        <w:tc>
          <w:tcPr>
            <w:tcW w:type="dxa" w:w="17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5859.38</w:t>
            </w:r>
          </w:p>
        </w:tc>
        <w:tc>
          <w:tcPr>
            <w:tcW w:type="dxa" w:w="226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1.01</w:t>
            </w:r>
          </w:p>
        </w:tc>
      </w:tr>
      <w:tr>
        <w:tc>
          <w:tcPr>
            <w:tcW w:type="dxa" w:w="140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本项目</w:t>
            </w:r>
          </w:p>
        </w:tc>
        <w:tc>
          <w:tcPr>
            <w:tcW w:type="dxa" w:w="811"/>
            <w:tcBorders>
              <w:top w:val="none" w:color="000000" w:sz="4"/>
              <w:left w:val="non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rPr>
              <w:t>46</w:t>
            </w:r>
          </w:p>
        </w:tc>
        <w:tc>
          <w:tcPr>
            <w:tcW w:type="dxa" w:w="21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200000</w:t>
            </w:r>
          </w:p>
        </w:tc>
        <w:tc>
          <w:tcPr>
            <w:tcW w:type="dxa" w:w="17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269531.25</w:t>
            </w:r>
          </w:p>
        </w:tc>
        <w:tc>
          <w:tcPr>
            <w:tcW w:type="dxa" w:w="226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46.27</w:t>
            </w:r>
          </w:p>
        </w:tc>
      </w:tr>
      <w:tr>
        <w:tc>
          <w:tcPr>
            <w:tcW w:type="dxa" w:w="1409"/>
            <w:tcBorders>
              <w:top w:val="none" w:color="000000" w:sz="4"/>
              <w:left w:val="single" w:color="000000" w:sz="4"/>
              <w:bottom w:val="single" w:color="000000" w:sz="4"/>
              <w:right w:val="single" w:color="000000" w:sz="4"/>
            </w:tcBorders>
            <w:tcMar>
              <w:top w:type="dxa" w:w="0"/>
              <w:left w:type="dxa" w:w="105"/>
              <w:bottom w:type="dxa" w:w="0"/>
              <w:right w:type="dxa" w:w="105"/>
            </w:tcMar>
            <w:vAlign w:val="bottom"/>
          </w:tcPr>
          <w:p>
            <w:pPr>
              <w:pStyle w:val="null3"/>
              <w:jc w:val="center"/>
            </w:pPr>
            <w:r>
              <w:rPr>
                <w:sz w:val="21"/>
              </w:rPr>
              <w:t>备注</w:t>
            </w:r>
          </w:p>
        </w:tc>
        <w:tc>
          <w:tcPr>
            <w:tcW w:type="dxa" w:w="6897"/>
            <w:gridSpan w:val="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1、根据民众街道交警大队反映，按每条车道平均通行车辆为5000辆/天考虑。</w:t>
            </w:r>
          </w:p>
          <w:p>
            <w:pPr>
              <w:pStyle w:val="null3"/>
              <w:jc w:val="both"/>
            </w:pPr>
            <w:r>
              <w:rPr>
                <w:sz w:val="21"/>
              </w:rPr>
              <w:t>2、根据系统对车辆通行信息记录要求情况，本期按每条车辆通行信息数据平均为不低于900万像素的抓拍摄像机生成的交通违法图片按1200KB/张考虑，不低于500万像素的抓拍摄像机生成的交通违法图片按600KB/张考虑；</w:t>
            </w:r>
          </w:p>
        </w:tc>
      </w:tr>
      <w:tr>
        <w:tc>
          <w:tcPr>
            <w:tcW w:type="dxa" w:w="1409"/>
            <w:tcBorders>
              <w:top w:val="none" w:color="000000" w:sz="4"/>
              <w:left w:val="single" w:color="000000" w:sz="4"/>
              <w:bottom w:val="single" w:color="000000" w:sz="4"/>
              <w:right w:val="single" w:color="000000" w:sz="4"/>
            </w:tcBorders>
            <w:tcMar>
              <w:top w:type="dxa" w:w="0"/>
              <w:left w:type="dxa" w:w="105"/>
              <w:bottom w:type="dxa" w:w="0"/>
              <w:right w:type="dxa" w:w="105"/>
            </w:tcMar>
            <w:vAlign w:val="bottom"/>
          </w:tcPr>
          <w:p>
            <w:pPr>
              <w:pStyle w:val="null3"/>
              <w:jc w:val="both"/>
            </w:pPr>
          </w:p>
        </w:tc>
        <w:tc>
          <w:tcPr>
            <w:tcW w:type="dxa" w:w="811"/>
            <w:tcBorders>
              <w:top w:val="none" w:color="000000" w:sz="4"/>
              <w:left w:val="none" w:color="000000" w:sz="4"/>
              <w:bottom w:val="single" w:color="000000" w:sz="4"/>
              <w:right w:val="single" w:color="000000" w:sz="4"/>
            </w:tcBorders>
            <w:tcMar>
              <w:top w:type="dxa" w:w="0"/>
              <w:left w:type="dxa" w:w="105"/>
              <w:bottom w:type="dxa" w:w="0"/>
              <w:right w:type="dxa" w:w="105"/>
            </w:tcMar>
            <w:vAlign w:val="bottom"/>
          </w:tcPr>
          <w:p/>
        </w:tc>
        <w:tc>
          <w:tcPr>
            <w:tcW w:type="dxa" w:w="2116"/>
            <w:tcBorders>
              <w:top w:val="none" w:color="000000" w:sz="4"/>
              <w:left w:val="none" w:color="000000" w:sz="4"/>
              <w:bottom w:val="single" w:color="000000" w:sz="4"/>
              <w:right w:val="single" w:color="000000" w:sz="4"/>
            </w:tcBorders>
            <w:tcMar>
              <w:top w:type="dxa" w:w="0"/>
              <w:left w:type="dxa" w:w="105"/>
              <w:bottom w:type="dxa" w:w="0"/>
              <w:right w:type="dxa" w:w="105"/>
            </w:tcMar>
            <w:vAlign w:val="bottom"/>
          </w:tcPr>
          <w:p/>
        </w:tc>
        <w:tc>
          <w:tcPr>
            <w:tcW w:type="dxa" w:w="1708"/>
            <w:tcBorders>
              <w:top w:val="none" w:color="000000" w:sz="4"/>
              <w:left w:val="none" w:color="000000" w:sz="4"/>
              <w:bottom w:val="single" w:color="000000" w:sz="4"/>
              <w:right w:val="single" w:color="000000" w:sz="4"/>
            </w:tcBorders>
            <w:tcMar>
              <w:top w:type="dxa" w:w="0"/>
              <w:left w:type="dxa" w:w="105"/>
              <w:bottom w:type="dxa" w:w="0"/>
              <w:right w:type="dxa" w:w="105"/>
            </w:tcMar>
            <w:vAlign w:val="bottom"/>
          </w:tcPr>
          <w:p>
            <w:pPr>
              <w:pStyle w:val="null3"/>
              <w:jc w:val="center"/>
            </w:pPr>
            <w:r>
              <w:rPr>
                <w:sz w:val="21"/>
              </w:rPr>
              <w:t>小计</w:t>
            </w:r>
          </w:p>
        </w:tc>
        <w:tc>
          <w:tcPr>
            <w:tcW w:type="dxa" w:w="226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47.28</w:t>
            </w:r>
          </w:p>
        </w:tc>
      </w:tr>
    </w:tbl>
    <w:p>
      <w:pPr>
        <w:pStyle w:val="null3"/>
        <w:ind w:left="990"/>
        <w:jc w:val="both"/>
        <w:outlineLvl w:val="4"/>
      </w:pPr>
      <w:r>
        <w:rPr>
          <w:sz w:val="21"/>
          <w:b/>
        </w:rPr>
        <w:t>2.2.2.1.3.交通流信息数据量</w:t>
      </w:r>
    </w:p>
    <w:p>
      <w:pPr>
        <w:pStyle w:val="null3"/>
        <w:ind w:firstLine="420"/>
        <w:jc w:val="both"/>
      </w:pPr>
      <w:r>
        <w:rPr>
          <w:sz w:val="21"/>
        </w:rPr>
        <w:t>根据本项目的建设规模，</w:t>
      </w:r>
      <w:r>
        <w:rPr>
          <w:sz w:val="21"/>
        </w:rPr>
        <w:t>设置不低于</w:t>
      </w:r>
      <w:r>
        <w:rPr>
          <w:sz w:val="21"/>
        </w:rPr>
        <w:t>500万像素反向卡口抓拍摄像机（抓拍车头）1台监控</w:t>
      </w:r>
      <w:r>
        <w:rPr>
          <w:sz w:val="21"/>
          <w:b/>
        </w:rPr>
        <w:t>1个方向</w:t>
      </w:r>
      <w:r>
        <w:rPr>
          <w:sz w:val="21"/>
        </w:rPr>
        <w:t>；设置不低于</w:t>
      </w:r>
      <w:r>
        <w:rPr>
          <w:sz w:val="21"/>
        </w:rPr>
        <w:t>900万像素反向卡口抓拍摄像机（抓拍车头）</w:t>
      </w:r>
      <w:r>
        <w:rPr>
          <w:sz w:val="21"/>
        </w:rPr>
        <w:t>2</w:t>
      </w:r>
      <w:r>
        <w:rPr>
          <w:sz w:val="21"/>
        </w:rPr>
        <w:t>3台监控</w:t>
      </w:r>
      <w:r>
        <w:rPr>
          <w:sz w:val="21"/>
          <w:b/>
        </w:rPr>
        <w:t>23个方向</w:t>
      </w:r>
      <w:r>
        <w:rPr>
          <w:sz w:val="21"/>
        </w:rPr>
        <w:t>；设置不低于</w:t>
      </w:r>
      <w:r>
        <w:rPr>
          <w:sz w:val="21"/>
        </w:rPr>
        <w:t>9</w:t>
      </w:r>
      <w:r>
        <w:rPr>
          <w:sz w:val="21"/>
        </w:rPr>
        <w:t>00万像素电子警察抓拍摄像机（抓拍车尾）</w:t>
      </w:r>
      <w:r>
        <w:rPr>
          <w:sz w:val="21"/>
        </w:rPr>
        <w:t>4</w:t>
      </w:r>
      <w:r>
        <w:rPr>
          <w:sz w:val="21"/>
        </w:rPr>
        <w:t>台监控</w:t>
      </w:r>
      <w:r>
        <w:rPr>
          <w:sz w:val="21"/>
          <w:b/>
        </w:rPr>
        <w:t>4个方向</w:t>
      </w:r>
      <w:r>
        <w:rPr>
          <w:sz w:val="21"/>
        </w:rPr>
        <w:t>；设置不低于</w:t>
      </w:r>
      <w:r>
        <w:rPr>
          <w:sz w:val="21"/>
        </w:rPr>
        <w:t>5</w:t>
      </w:r>
      <w:r>
        <w:rPr>
          <w:sz w:val="21"/>
        </w:rPr>
        <w:t>00万像素电子警察抓拍摄像机（抓拍车尾）</w:t>
      </w:r>
      <w:r>
        <w:rPr>
          <w:sz w:val="21"/>
        </w:rPr>
        <w:t>2</w:t>
      </w:r>
      <w:r>
        <w:rPr>
          <w:sz w:val="21"/>
        </w:rPr>
        <w:t>台监控</w:t>
      </w:r>
      <w:r>
        <w:rPr>
          <w:sz w:val="21"/>
          <w:b/>
        </w:rPr>
        <w:t>2个方向</w:t>
      </w:r>
      <w:r>
        <w:rPr>
          <w:sz w:val="21"/>
        </w:rPr>
        <w:t>；</w:t>
      </w:r>
      <w:r>
        <w:rPr>
          <w:sz w:val="21"/>
        </w:rPr>
        <w:t>设置有枪球一体机</w:t>
      </w:r>
      <w:r>
        <w:rPr>
          <w:sz w:val="21"/>
        </w:rPr>
        <w:t>28</w:t>
      </w:r>
      <w:r>
        <w:rPr>
          <w:sz w:val="21"/>
        </w:rPr>
        <w:t>台监控</w:t>
      </w:r>
      <w:r>
        <w:rPr>
          <w:sz w:val="21"/>
          <w:b/>
        </w:rPr>
        <w:t>56</w:t>
      </w:r>
      <w:r>
        <w:rPr>
          <w:sz w:val="21"/>
          <w:b/>
        </w:rPr>
        <w:t>个方向</w:t>
      </w:r>
      <w:r>
        <w:rPr>
          <w:sz w:val="21"/>
        </w:rPr>
        <w:t>。</w:t>
      </w:r>
      <w:r>
        <w:rPr>
          <w:sz w:val="21"/>
        </w:rPr>
        <w:t xml:space="preserve"> </w:t>
      </w:r>
    </w:p>
    <w:tbl>
      <w:tblPr>
        <w:tblW w:w="0" w:type="auto"/>
        <w:tblBorders>
          <w:top w:val="none" w:color="000000" w:sz="4"/>
          <w:left w:val="none" w:color="000000" w:sz="4"/>
          <w:bottom w:val="none" w:color="000000" w:sz="4"/>
          <w:right w:val="none" w:color="000000" w:sz="4"/>
          <w:insideH w:val="none"/>
          <w:insideV w:val="none"/>
        </w:tblBorders>
      </w:tblPr>
      <w:tblGrid>
        <w:gridCol w:w="1421"/>
        <w:gridCol w:w="1075"/>
        <w:gridCol w:w="1838"/>
        <w:gridCol w:w="1710"/>
        <w:gridCol w:w="2262"/>
      </w:tblGrid>
      <w:tr>
        <w:tc>
          <w:tcPr>
            <w:tcW w:type="dxa" w:w="8306"/>
            <w:gridSpan w:val="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自动记录的交通流信息数据量</w:t>
            </w:r>
          </w:p>
        </w:tc>
      </w:tr>
      <w:tr>
        <w:tc>
          <w:tcPr>
            <w:tcW w:type="dxa" w:w="14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p>
        </w:tc>
        <w:tc>
          <w:tcPr>
            <w:tcW w:type="dxa" w:w="10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道路方向数</w:t>
            </w:r>
            <w:r>
              <w:rPr>
                <w:sz w:val="21"/>
              </w:rPr>
              <w:t>(个)</w:t>
            </w:r>
          </w:p>
        </w:tc>
        <w:tc>
          <w:tcPr>
            <w:tcW w:type="dxa" w:w="18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1天的交通流信息数量(条)</w:t>
            </w:r>
          </w:p>
        </w:tc>
        <w:tc>
          <w:tcPr>
            <w:tcW w:type="dxa" w:w="17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1天的数据量(MB)</w:t>
            </w:r>
          </w:p>
        </w:tc>
        <w:tc>
          <w:tcPr>
            <w:tcW w:type="dxa" w:w="226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365天的数据量(TB)</w:t>
            </w:r>
          </w:p>
        </w:tc>
      </w:tr>
      <w:tr>
        <w:tc>
          <w:tcPr>
            <w:tcW w:type="dxa" w:w="14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基础参数</w:t>
            </w:r>
          </w:p>
        </w:tc>
        <w:tc>
          <w:tcPr>
            <w:tcW w:type="dxa" w:w="10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8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1224</w:t>
            </w:r>
          </w:p>
        </w:tc>
        <w:tc>
          <w:tcPr>
            <w:tcW w:type="dxa" w:w="17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597.66</w:t>
            </w:r>
          </w:p>
        </w:tc>
        <w:tc>
          <w:tcPr>
            <w:tcW w:type="dxa" w:w="226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0.21</w:t>
            </w:r>
          </w:p>
        </w:tc>
      </w:tr>
      <w:tr>
        <w:tc>
          <w:tcPr>
            <w:tcW w:type="dxa" w:w="14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本项目</w:t>
            </w:r>
          </w:p>
        </w:tc>
        <w:tc>
          <w:tcPr>
            <w:tcW w:type="dxa" w:w="1075"/>
            <w:tcBorders>
              <w:top w:val="none" w:color="000000" w:sz="4"/>
              <w:left w:val="non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rPr>
              <w:t>86</w:t>
            </w:r>
          </w:p>
        </w:tc>
        <w:tc>
          <w:tcPr>
            <w:tcW w:type="dxa" w:w="18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105264</w:t>
            </w:r>
          </w:p>
        </w:tc>
        <w:tc>
          <w:tcPr>
            <w:tcW w:type="dxa" w:w="17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51398.4375</w:t>
            </w:r>
          </w:p>
        </w:tc>
        <w:tc>
          <w:tcPr>
            <w:tcW w:type="dxa" w:w="226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17.89</w:t>
            </w:r>
          </w:p>
        </w:tc>
      </w:tr>
      <w:tr>
        <w:tc>
          <w:tcPr>
            <w:tcW w:type="dxa" w:w="142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备注</w:t>
            </w:r>
          </w:p>
        </w:tc>
        <w:tc>
          <w:tcPr>
            <w:tcW w:type="dxa" w:w="6885"/>
            <w:gridSpan w:val="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1、根据系统对交通流信息记录要求情况，交通流信息以一般应用主要分为5分钟数据、15分钟数据、1小时数据等三种，每条交通流信息数据约为500KB。</w:t>
            </w:r>
          </w:p>
          <w:p>
            <w:pPr>
              <w:pStyle w:val="null3"/>
              <w:jc w:val="both"/>
            </w:pPr>
            <w:r>
              <w:rPr>
                <w:sz w:val="21"/>
              </w:rPr>
              <w:t>2、根据中山市民众街道道路情况以及港口镇交警大队反映，本期按每个道路方向平均为三条车道考虑。每个道路方向一天将产生864条5分钟数据、288条15分钟数据、72条1小时数据，合计1224条数据。</w:t>
            </w:r>
          </w:p>
        </w:tc>
      </w:tr>
      <w:tr>
        <w:tc>
          <w:tcPr>
            <w:tcW w:type="dxa" w:w="1421"/>
            <w:tcBorders>
              <w:top w:val="none" w:color="000000" w:sz="4"/>
              <w:left w:val="single" w:color="000000" w:sz="4"/>
              <w:bottom w:val="single" w:color="000000" w:sz="4"/>
              <w:right w:val="single" w:color="000000" w:sz="4"/>
            </w:tcBorders>
            <w:tcMar>
              <w:top w:type="dxa" w:w="0"/>
              <w:left w:type="dxa" w:w="105"/>
              <w:bottom w:type="dxa" w:w="0"/>
              <w:right w:type="dxa" w:w="105"/>
            </w:tcMar>
            <w:vAlign w:val="bottom"/>
          </w:tcPr>
          <w:p>
            <w:pPr>
              <w:pStyle w:val="null3"/>
              <w:jc w:val="both"/>
            </w:pPr>
          </w:p>
        </w:tc>
        <w:tc>
          <w:tcPr>
            <w:tcW w:type="dxa" w:w="1075"/>
            <w:tcBorders>
              <w:top w:val="none" w:color="000000" w:sz="4"/>
              <w:left w:val="none" w:color="000000" w:sz="4"/>
              <w:bottom w:val="single" w:color="000000" w:sz="4"/>
              <w:right w:val="single" w:color="000000" w:sz="4"/>
            </w:tcBorders>
            <w:tcMar>
              <w:top w:type="dxa" w:w="0"/>
              <w:left w:type="dxa" w:w="105"/>
              <w:bottom w:type="dxa" w:w="0"/>
              <w:right w:type="dxa" w:w="105"/>
            </w:tcMar>
            <w:vAlign w:val="bottom"/>
          </w:tcPr>
          <w:p/>
        </w:tc>
        <w:tc>
          <w:tcPr>
            <w:tcW w:type="dxa" w:w="1838"/>
            <w:tcBorders>
              <w:top w:val="none" w:color="000000" w:sz="4"/>
              <w:left w:val="none" w:color="000000" w:sz="4"/>
              <w:bottom w:val="single" w:color="000000" w:sz="4"/>
              <w:right w:val="single" w:color="000000" w:sz="4"/>
            </w:tcBorders>
            <w:tcMar>
              <w:top w:type="dxa" w:w="0"/>
              <w:left w:type="dxa" w:w="105"/>
              <w:bottom w:type="dxa" w:w="0"/>
              <w:right w:type="dxa" w:w="105"/>
            </w:tcMar>
            <w:vAlign w:val="bottom"/>
          </w:tcPr>
          <w:p/>
        </w:tc>
        <w:tc>
          <w:tcPr>
            <w:tcW w:type="dxa" w:w="1710"/>
            <w:tcBorders>
              <w:top w:val="none" w:color="000000" w:sz="4"/>
              <w:left w:val="none" w:color="000000" w:sz="4"/>
              <w:bottom w:val="single" w:color="000000" w:sz="4"/>
              <w:right w:val="single" w:color="000000" w:sz="4"/>
            </w:tcBorders>
            <w:tcMar>
              <w:top w:type="dxa" w:w="0"/>
              <w:left w:type="dxa" w:w="105"/>
              <w:bottom w:type="dxa" w:w="0"/>
              <w:right w:type="dxa" w:w="105"/>
            </w:tcMar>
            <w:vAlign w:val="bottom"/>
          </w:tcPr>
          <w:p>
            <w:pPr>
              <w:pStyle w:val="null3"/>
              <w:jc w:val="center"/>
            </w:pPr>
            <w:r>
              <w:rPr>
                <w:sz w:val="21"/>
              </w:rPr>
              <w:t>小计</w:t>
            </w:r>
          </w:p>
        </w:tc>
        <w:tc>
          <w:tcPr>
            <w:tcW w:type="dxa" w:w="226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17.89</w:t>
            </w:r>
          </w:p>
        </w:tc>
      </w:tr>
    </w:tbl>
    <w:p>
      <w:pPr>
        <w:pStyle w:val="null3"/>
        <w:ind w:left="990"/>
        <w:jc w:val="both"/>
        <w:outlineLvl w:val="4"/>
      </w:pPr>
      <w:r>
        <w:rPr>
          <w:sz w:val="21"/>
          <w:b/>
        </w:rPr>
        <w:t>2.2.2.1.4.交通视频信息</w:t>
      </w:r>
      <w:r>
        <w:rPr>
          <w:sz w:val="21"/>
          <w:b/>
        </w:rPr>
        <w:t>数据量</w:t>
      </w:r>
    </w:p>
    <w:p>
      <w:pPr>
        <w:pStyle w:val="null3"/>
        <w:ind w:firstLine="420"/>
        <w:jc w:val="both"/>
      </w:pPr>
      <w:r>
        <w:rPr>
          <w:sz w:val="21"/>
        </w:rPr>
        <w:t>根据本项目的建设规模，设置不低于</w:t>
      </w:r>
      <w:r>
        <w:rPr>
          <w:sz w:val="21"/>
        </w:rPr>
        <w:t>500万像素反向卡口抓拍摄像机（抓拍车头）</w:t>
      </w:r>
      <w:r>
        <w:rPr>
          <w:sz w:val="21"/>
        </w:rPr>
        <w:t>3</w:t>
      </w:r>
      <w:r>
        <w:rPr>
          <w:sz w:val="21"/>
        </w:rPr>
        <w:t>台；设置不低于</w:t>
      </w:r>
      <w:r>
        <w:rPr>
          <w:sz w:val="21"/>
        </w:rPr>
        <w:t>900万像素反向卡口抓拍摄像机（抓拍车头）</w:t>
      </w:r>
      <w:r>
        <w:rPr>
          <w:sz w:val="21"/>
        </w:rPr>
        <w:t>20</w:t>
      </w:r>
      <w:r>
        <w:rPr>
          <w:sz w:val="21"/>
        </w:rPr>
        <w:t>台；设置不低于</w:t>
      </w:r>
      <w:r>
        <w:rPr>
          <w:sz w:val="21"/>
        </w:rPr>
        <w:t>9</w:t>
      </w:r>
      <w:r>
        <w:rPr>
          <w:sz w:val="21"/>
        </w:rPr>
        <w:t>00万像素电子警察抓拍摄像机（抓拍车尾）4台；设置不低于</w:t>
      </w:r>
      <w:r>
        <w:rPr>
          <w:sz w:val="21"/>
        </w:rPr>
        <w:t>5</w:t>
      </w:r>
      <w:r>
        <w:rPr>
          <w:sz w:val="21"/>
        </w:rPr>
        <w:t>00万像素电子警察抓拍摄像机（抓拍车尾）</w:t>
      </w:r>
      <w:r>
        <w:rPr>
          <w:sz w:val="21"/>
        </w:rPr>
        <w:t>2</w:t>
      </w:r>
      <w:r>
        <w:rPr>
          <w:sz w:val="21"/>
        </w:rPr>
        <w:t>台；设置有实时视频监控的监控球机共</w:t>
      </w:r>
      <w:r>
        <w:rPr>
          <w:sz w:val="21"/>
        </w:rPr>
        <w:t>28</w:t>
      </w:r>
      <w:r>
        <w:rPr>
          <w:sz w:val="21"/>
        </w:rPr>
        <w:t>台。</w:t>
      </w:r>
    </w:p>
    <w:tbl>
      <w:tblPr>
        <w:tblW w:w="0" w:type="auto"/>
        <w:tblBorders>
          <w:top w:val="none" w:color="000000" w:sz="4"/>
          <w:left w:val="none" w:color="000000" w:sz="4"/>
          <w:bottom w:val="none" w:color="000000" w:sz="4"/>
          <w:right w:val="none" w:color="000000" w:sz="4"/>
          <w:insideH w:val="none"/>
          <w:insideV w:val="none"/>
        </w:tblBorders>
      </w:tblPr>
      <w:tblGrid>
        <w:gridCol w:w="1130"/>
        <w:gridCol w:w="7176"/>
      </w:tblGrid>
      <w:tr>
        <w:tc>
          <w:tcPr>
            <w:tcW w:type="dxa" w:w="8306"/>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实时视频监控的交通视频信息数据量</w:t>
            </w:r>
          </w:p>
        </w:tc>
      </w:tr>
      <w:tr>
        <w:tc>
          <w:tcPr>
            <w:tcW w:type="dxa" w:w="8306"/>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500万像素反向卡口抓拍摄像机（抓拍车头）：((</w:t>
            </w:r>
            <w:r>
              <w:rPr>
                <w:sz w:val="21"/>
              </w:rPr>
              <w:t>8</w:t>
            </w:r>
            <w:r>
              <w:rPr>
                <w:sz w:val="21"/>
              </w:rPr>
              <w:t>Mbps/8)×3600×24×</w:t>
            </w:r>
            <w:r>
              <w:rPr>
                <w:sz w:val="21"/>
                <w:u w:val="single"/>
              </w:rPr>
              <w:t>1</w:t>
            </w:r>
            <w:r>
              <w:rPr>
                <w:sz w:val="21"/>
              </w:rPr>
              <w:t>×30) ÷1024÷1024≈2.47</w:t>
            </w:r>
            <w:r>
              <w:rPr>
                <w:sz w:val="21"/>
              </w:rPr>
              <w:t xml:space="preserve"> </w:t>
            </w:r>
            <w:r>
              <w:rPr>
                <w:sz w:val="21"/>
              </w:rPr>
              <w:t>TB</w:t>
            </w:r>
          </w:p>
          <w:p>
            <w:pPr>
              <w:pStyle w:val="null3"/>
              <w:jc w:val="both"/>
            </w:pPr>
            <w:r>
              <w:rPr>
                <w:sz w:val="21"/>
              </w:rPr>
              <w:t>900万像素反向卡口抓拍摄像机（抓拍车头）：((8Mbps/8)×3600×24×</w:t>
            </w:r>
            <w:r>
              <w:rPr>
                <w:sz w:val="21"/>
                <w:u w:val="single"/>
              </w:rPr>
              <w:t>2</w:t>
            </w:r>
            <w:r>
              <w:rPr>
                <w:sz w:val="21"/>
                <w:u w:val="single"/>
              </w:rPr>
              <w:t>3</w:t>
            </w:r>
            <w:r>
              <w:rPr>
                <w:sz w:val="21"/>
              </w:rPr>
              <w:t>×30) ÷1024÷1024≈56.85</w:t>
            </w:r>
            <w:r>
              <w:rPr>
                <w:sz w:val="21"/>
              </w:rPr>
              <w:t xml:space="preserve"> </w:t>
            </w:r>
            <w:r>
              <w:rPr>
                <w:sz w:val="21"/>
              </w:rPr>
              <w:t>TB</w:t>
            </w:r>
          </w:p>
          <w:p>
            <w:pPr>
              <w:pStyle w:val="null3"/>
              <w:jc w:val="both"/>
            </w:pPr>
            <w:r>
              <w:rPr>
                <w:sz w:val="21"/>
              </w:rPr>
              <w:t>900万像素电子警察抓拍摄像机（抓拍车头）：((8Mbps/8)×3600×24×</w:t>
            </w:r>
            <w:r>
              <w:rPr>
                <w:sz w:val="21"/>
                <w:u w:val="single"/>
              </w:rPr>
              <w:t>4</w:t>
            </w:r>
            <w:r>
              <w:rPr>
                <w:sz w:val="21"/>
              </w:rPr>
              <w:t>×30) ÷1024÷1024≈</w:t>
            </w:r>
            <w:r>
              <w:rPr>
                <w:sz w:val="21"/>
              </w:rPr>
              <w:t>9.89</w:t>
            </w:r>
            <w:r>
              <w:rPr>
                <w:sz w:val="21"/>
              </w:rPr>
              <w:t>TB</w:t>
            </w:r>
          </w:p>
          <w:p>
            <w:pPr>
              <w:pStyle w:val="null3"/>
              <w:jc w:val="both"/>
            </w:pPr>
            <w:r>
              <w:rPr>
                <w:sz w:val="21"/>
              </w:rPr>
              <w:t>500万像素电子警察抓拍摄像机（抓拍车尾）：((4Mbps/8)×3600×24×</w:t>
            </w:r>
            <w:r>
              <w:rPr>
                <w:sz w:val="21"/>
                <w:u w:val="single"/>
              </w:rPr>
              <w:t>2</w:t>
            </w:r>
            <w:r>
              <w:rPr>
                <w:sz w:val="21"/>
              </w:rPr>
              <w:t>×30) ÷1024÷1024≈</w:t>
            </w:r>
            <w:r>
              <w:rPr>
                <w:sz w:val="21"/>
              </w:rPr>
              <w:t xml:space="preserve">2.47 </w:t>
            </w:r>
            <w:r>
              <w:rPr>
                <w:sz w:val="21"/>
              </w:rPr>
              <w:t>TB</w:t>
            </w:r>
          </w:p>
          <w:p>
            <w:pPr>
              <w:pStyle w:val="null3"/>
              <w:jc w:val="both"/>
            </w:pPr>
            <w:r>
              <w:rPr>
                <w:sz w:val="21"/>
              </w:rPr>
              <w:t>枪球一体机：</w:t>
            </w:r>
            <w:r>
              <w:rPr>
                <w:sz w:val="21"/>
              </w:rPr>
              <w:t>((5Mbps/8)×3600×24×</w:t>
            </w:r>
            <w:r>
              <w:rPr>
                <w:sz w:val="21"/>
                <w:u w:val="single"/>
              </w:rPr>
              <w:t>28</w:t>
            </w:r>
            <w:r>
              <w:rPr>
                <w:sz w:val="21"/>
              </w:rPr>
              <w:t>×30) ÷1024÷1024≈43.26</w:t>
            </w:r>
            <w:r>
              <w:rPr>
                <w:sz w:val="21"/>
              </w:rPr>
              <w:t xml:space="preserve"> </w:t>
            </w:r>
            <w:r>
              <w:rPr>
                <w:sz w:val="21"/>
              </w:rPr>
              <w:t>TB</w:t>
            </w:r>
          </w:p>
          <w:p>
            <w:pPr>
              <w:pStyle w:val="null3"/>
              <w:jc w:val="both"/>
            </w:pPr>
            <w:r>
              <w:rPr>
                <w:sz w:val="21"/>
                <w:b/>
              </w:rPr>
              <w:t>合计：</w:t>
            </w:r>
            <w:r>
              <w:rPr>
                <w:sz w:val="21"/>
                <w:b/>
              </w:rPr>
              <w:t>114.94</w:t>
            </w:r>
            <w:r>
              <w:rPr>
                <w:sz w:val="21"/>
                <w:b/>
              </w:rPr>
              <w:t xml:space="preserve"> </w:t>
            </w:r>
            <w:r>
              <w:rPr>
                <w:sz w:val="21"/>
                <w:b/>
              </w:rPr>
              <w:t>TB</w:t>
            </w:r>
          </w:p>
        </w:tc>
      </w:tr>
      <w:tr>
        <w:tc>
          <w:tcPr>
            <w:tcW w:type="dxa" w:w="113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备注</w:t>
            </w:r>
          </w:p>
        </w:tc>
        <w:tc>
          <w:tcPr>
            <w:tcW w:type="dxa" w:w="717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视频</w:t>
            </w:r>
            <w:r>
              <w:rPr>
                <w:sz w:val="21"/>
              </w:rPr>
              <w:t>容量</w:t>
            </w:r>
            <w:r>
              <w:rPr>
                <w:sz w:val="21"/>
              </w:rPr>
              <w:t>(</w:t>
            </w:r>
            <w:r>
              <w:rPr>
                <w:sz w:val="21"/>
              </w:rPr>
              <w:t>TB</w:t>
            </w:r>
            <w:r>
              <w:rPr>
                <w:sz w:val="21"/>
              </w:rPr>
              <w:t>)</w:t>
            </w:r>
            <w:r>
              <w:rPr>
                <w:sz w:val="21"/>
              </w:rPr>
              <w:t>=((</w:t>
            </w:r>
            <w:r>
              <w:rPr>
                <w:sz w:val="21"/>
              </w:rPr>
              <w:t>码流</w:t>
            </w:r>
            <w:r>
              <w:rPr>
                <w:sz w:val="21"/>
              </w:rPr>
              <w:t>/8)</w:t>
            </w:r>
            <w:r>
              <w:rPr>
                <w:sz w:val="21"/>
              </w:rPr>
              <w:t>×3600×24×</w:t>
            </w:r>
            <w:r>
              <w:rPr>
                <w:sz w:val="21"/>
              </w:rPr>
              <w:t>设备</w:t>
            </w:r>
            <w:r>
              <w:rPr>
                <w:sz w:val="21"/>
              </w:rPr>
              <w:t>数量</w:t>
            </w:r>
            <w:r>
              <w:rPr>
                <w:sz w:val="21"/>
              </w:rPr>
              <w:t>×</w:t>
            </w:r>
            <w:r>
              <w:rPr>
                <w:sz w:val="21"/>
              </w:rPr>
              <w:t>保存</w:t>
            </w:r>
            <w:r>
              <w:rPr>
                <w:sz w:val="21"/>
              </w:rPr>
              <w:t>天数</w:t>
            </w:r>
            <w:r>
              <w:rPr>
                <w:sz w:val="21"/>
              </w:rPr>
              <w:t>)</w:t>
            </w:r>
            <w:r>
              <w:rPr>
                <w:sz w:val="21"/>
              </w:rPr>
              <w:t xml:space="preserve"> </w:t>
            </w:r>
            <w:r>
              <w:rPr>
                <w:sz w:val="21"/>
              </w:rPr>
              <w:t>÷1024÷1024</w:t>
            </w:r>
          </w:p>
          <w:p>
            <w:pPr>
              <w:pStyle w:val="null3"/>
              <w:jc w:val="both"/>
            </w:pPr>
            <w:r>
              <w:rPr>
                <w:sz w:val="21"/>
              </w:rPr>
              <w:t>根据大队需求反映，</w:t>
            </w:r>
            <w:r>
              <w:rPr>
                <w:sz w:val="21"/>
              </w:rPr>
              <w:t>视频保存</w:t>
            </w:r>
            <w:r>
              <w:rPr>
                <w:sz w:val="21"/>
              </w:rPr>
              <w:t>30天</w:t>
            </w:r>
          </w:p>
        </w:tc>
      </w:tr>
    </w:tbl>
    <w:p>
      <w:pPr>
        <w:pStyle w:val="null3"/>
        <w:ind w:left="990"/>
        <w:jc w:val="both"/>
        <w:outlineLvl w:val="4"/>
      </w:pPr>
      <w:r>
        <w:rPr>
          <w:sz w:val="21"/>
          <w:b/>
        </w:rPr>
        <w:t>2.2.2.1.5.系统数据存储需求</w:t>
      </w:r>
    </w:p>
    <w:p>
      <w:pPr>
        <w:pStyle w:val="null3"/>
        <w:ind w:firstLine="420"/>
        <w:jc w:val="both"/>
      </w:pPr>
      <w:r>
        <w:rPr>
          <w:sz w:val="21"/>
        </w:rPr>
        <w:t>系统前端的数据上传至应用服务器后，交通违法信息、车辆通行信息、视频信息数据、设备运行状态信息、日志信息等数据存储到后台存储设备中，交通违法信息图片存储时间至少为</w:t>
      </w:r>
      <w:r>
        <w:rPr>
          <w:sz w:val="21"/>
        </w:rPr>
        <w:t>365</w:t>
      </w:r>
      <w:r>
        <w:rPr>
          <w:sz w:val="21"/>
        </w:rPr>
        <w:t>天，车辆通行信息存储时间至少为</w:t>
      </w:r>
      <w:r>
        <w:rPr>
          <w:sz w:val="21"/>
        </w:rPr>
        <w:t>180</w:t>
      </w:r>
      <w:r>
        <w:rPr>
          <w:sz w:val="21"/>
        </w:rPr>
        <w:t>天，视频数据存储时间至少为</w:t>
      </w:r>
      <w:r>
        <w:rPr>
          <w:sz w:val="21"/>
        </w:rPr>
        <w:t>30天。设备运行状态信息、日志信息数据量较少，忽略不计，系统能满足设备运行状态信息、日志信息、交通流信息数据量的存储。</w:t>
      </w:r>
    </w:p>
    <w:p>
      <w:pPr>
        <w:pStyle w:val="null3"/>
        <w:ind w:firstLine="420"/>
        <w:jc w:val="both"/>
      </w:pPr>
      <w:r>
        <w:rPr>
          <w:sz w:val="21"/>
        </w:rPr>
        <w:t>本项目计算数据存储容量</w:t>
      </w:r>
      <w:r>
        <w:rPr>
          <w:sz w:val="21"/>
        </w:rPr>
        <w:t>=交通违法信息数据量+车辆通行信息(卡口信息)数据量+交通流信息数据量+交通视频流数据量=</w:t>
      </w:r>
      <w:r>
        <w:rPr>
          <w:sz w:val="21"/>
          <w:b/>
        </w:rPr>
        <w:t>30.78</w:t>
      </w:r>
      <w:r>
        <w:rPr>
          <w:sz w:val="21"/>
          <w:b/>
        </w:rPr>
        <w:t xml:space="preserve"> TB+ </w:t>
      </w:r>
      <w:r>
        <w:rPr>
          <w:sz w:val="21"/>
          <w:b/>
        </w:rPr>
        <w:t>47.78</w:t>
      </w:r>
      <w:r>
        <w:rPr>
          <w:sz w:val="21"/>
          <w:b/>
        </w:rPr>
        <w:t xml:space="preserve"> TB+ </w:t>
      </w:r>
      <w:r>
        <w:rPr>
          <w:sz w:val="21"/>
          <w:b/>
        </w:rPr>
        <w:t>17.89</w:t>
      </w:r>
      <w:r>
        <w:rPr>
          <w:sz w:val="21"/>
          <w:b/>
        </w:rPr>
        <w:t xml:space="preserve"> TB+</w:t>
      </w:r>
      <w:r>
        <w:rPr>
          <w:sz w:val="21"/>
          <w:b/>
        </w:rPr>
        <w:t>114.94</w:t>
      </w:r>
      <w:r>
        <w:rPr>
          <w:sz w:val="21"/>
          <w:b/>
        </w:rPr>
        <w:t>TB</w:t>
      </w:r>
      <w:r>
        <w:rPr>
          <w:sz w:val="21"/>
          <w:b/>
        </w:rPr>
        <w:t>=</w:t>
      </w:r>
      <w:r>
        <w:rPr>
          <w:sz w:val="21"/>
          <w:b/>
        </w:rPr>
        <w:t xml:space="preserve"> </w:t>
      </w:r>
      <w:r>
        <w:rPr>
          <w:sz w:val="21"/>
          <w:b/>
        </w:rPr>
        <w:t>211.39</w:t>
      </w:r>
      <w:r>
        <w:rPr>
          <w:sz w:val="21"/>
          <w:b/>
        </w:rPr>
        <w:t xml:space="preserve"> </w:t>
      </w:r>
      <w:r>
        <w:rPr>
          <w:sz w:val="21"/>
          <w:b/>
        </w:rPr>
        <w:t>TB</w:t>
      </w:r>
      <w:r>
        <w:rPr>
          <w:sz w:val="21"/>
        </w:rPr>
        <w:t>。</w:t>
      </w:r>
    </w:p>
    <w:p>
      <w:pPr>
        <w:pStyle w:val="null3"/>
        <w:ind w:left="855"/>
        <w:jc w:val="both"/>
        <w:outlineLvl w:val="3"/>
      </w:pPr>
      <w:r>
        <w:rPr>
          <w:sz w:val="21"/>
          <w:b/>
        </w:rPr>
        <w:t>2.2.2.2.</w:t>
      </w:r>
      <w:r>
        <w:rPr>
          <w:sz w:val="21"/>
          <w:b/>
        </w:rPr>
        <w:t>系统管理设备需求及分析</w:t>
      </w:r>
    </w:p>
    <w:p>
      <w:pPr>
        <w:pStyle w:val="null3"/>
        <w:ind w:firstLine="420"/>
        <w:jc w:val="both"/>
      </w:pPr>
      <w:r>
        <w:rPr>
          <w:sz w:val="21"/>
        </w:rPr>
        <w:t>根据本项目所需处理的数据量进行分析，本项目将新增交通违法行为电子警察抓拍系统的监控方向共</w:t>
      </w:r>
      <w:r>
        <w:rPr>
          <w:sz w:val="21"/>
        </w:rPr>
        <w:t>6个，交通违法行为反向卡口抓拍系统的监控方向共23个，视频监控点位共56个。</w:t>
      </w:r>
    </w:p>
    <w:p>
      <w:pPr>
        <w:pStyle w:val="null3"/>
        <w:ind w:firstLine="420"/>
        <w:jc w:val="both"/>
      </w:pPr>
      <w:r>
        <w:rPr>
          <w:sz w:val="21"/>
        </w:rPr>
        <w:t>目前民众街道已有</w:t>
      </w:r>
      <w:r>
        <w:rPr>
          <w:sz w:val="21"/>
        </w:rPr>
        <w:t>智能交通综合管控平台，本项目利旧原有智能交通综合管控平台、新增</w:t>
      </w:r>
      <w:r>
        <w:rPr>
          <w:sz w:val="21"/>
        </w:rPr>
        <w:t>管理服务器</w:t>
      </w:r>
      <w:r>
        <w:rPr>
          <w:sz w:val="21"/>
        </w:rPr>
        <w:t>1台、数据库服务器</w:t>
      </w:r>
      <w:r>
        <w:rPr>
          <w:sz w:val="21"/>
        </w:rPr>
        <w:t>1</w:t>
      </w:r>
      <w:r>
        <w:rPr>
          <w:sz w:val="21"/>
        </w:rPr>
        <w:t>台、网络存储设备</w:t>
      </w:r>
      <w:r>
        <w:rPr>
          <w:sz w:val="21"/>
        </w:rPr>
        <w:t>1</w:t>
      </w:r>
      <w:r>
        <w:rPr>
          <w:sz w:val="21"/>
        </w:rPr>
        <w:t>台、客户端工作站及传输设备等若干台，共同组成了整个电子警察违法抓拍系统，负责交通违法信息、车辆通行信息（卡口信息）、交通流信息、设备运行状态信息、日志信息等数据处理。</w:t>
      </w:r>
    </w:p>
    <w:p>
      <w:pPr>
        <w:pStyle w:val="null3"/>
        <w:ind w:firstLine="420"/>
        <w:jc w:val="both"/>
      </w:pPr>
      <w:r>
        <w:rPr>
          <w:sz w:val="21"/>
        </w:rPr>
        <w:t>系统中心管理平台用作系统数据收集、处理、存储。主要设备包含图片转发、数据库服务器、中心管理服务器、对接服务器、磁盘阵列、交换机、视频解码器、监视大屏、控制键盘等等。系统中心管理平台应能实现预处理功能、视频实时监控功能、视频监控手动抓拍功能、数据存储功能、数据查询功能、网络安全功能、设备管理功能、用户管理功能等。</w:t>
      </w:r>
    </w:p>
    <w:p>
      <w:pPr>
        <w:pStyle w:val="null3"/>
        <w:ind w:left="990"/>
        <w:jc w:val="both"/>
        <w:outlineLvl w:val="4"/>
      </w:pPr>
      <w:r>
        <w:rPr>
          <w:sz w:val="21"/>
          <w:b/>
        </w:rPr>
        <w:t>2.2.2.2.1.中心管理服务模块需求及分析</w:t>
      </w:r>
    </w:p>
    <w:p>
      <w:pPr>
        <w:pStyle w:val="null3"/>
        <w:ind w:firstLine="420"/>
        <w:jc w:val="both"/>
      </w:pPr>
      <w:r>
        <w:rPr>
          <w:sz w:val="21"/>
        </w:rPr>
        <w:t>本项目需部署中心管理服务模块，对部分数据进行分开处理，减少数据处理时相互影响，提高系统的工作效率。并根据项目系统情况，对中心管理服务模块需求情况进行分析。</w:t>
      </w:r>
    </w:p>
    <w:p>
      <w:pPr>
        <w:pStyle w:val="null3"/>
        <w:ind w:firstLine="420"/>
        <w:jc w:val="both"/>
      </w:pPr>
      <w:r>
        <w:rPr>
          <w:sz w:val="21"/>
        </w:rPr>
        <w:t>系统对中心管理服务模块需求情况见下表：</w:t>
      </w:r>
    </w:p>
    <w:tbl>
      <w:tblPr>
        <w:tblW w:w="0" w:type="auto"/>
        <w:tblBorders>
          <w:top w:val="none" w:color="000000" w:sz="4"/>
          <w:left w:val="none" w:color="000000" w:sz="4"/>
          <w:bottom w:val="none" w:color="000000" w:sz="4"/>
          <w:right w:val="none" w:color="000000" w:sz="4"/>
          <w:insideH w:val="none"/>
          <w:insideV w:val="none"/>
        </w:tblBorders>
      </w:tblPr>
      <w:tblGrid>
        <w:gridCol w:w="777"/>
        <w:gridCol w:w="1191"/>
        <w:gridCol w:w="6336"/>
      </w:tblGrid>
      <w:tr>
        <w:tc>
          <w:tcPr>
            <w:tcW w:type="dxa" w:w="1968"/>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设备名称</w:t>
            </w:r>
          </w:p>
        </w:tc>
        <w:tc>
          <w:tcPr>
            <w:tcW w:type="dxa" w:w="633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接入服务模块</w:t>
            </w:r>
          </w:p>
        </w:tc>
      </w:tr>
      <w:tr>
        <w:tc>
          <w:tcPr>
            <w:tcW w:type="dxa" w:w="196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设备工作说明</w:t>
            </w:r>
          </w:p>
        </w:tc>
        <w:tc>
          <w:tcPr>
            <w:tcW w:type="dxa" w:w="63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实现交通应用中的卡口、电子警察抓拍摄像机、路口前置终端服务模块的统一接入。实时汇聚卡口、电子警察抓拍图片、车辆识别信息，并将过车抓拍识别信息转发给系统中心管理平台，将抓拍图片写入图片存储阵列。对交通设备的抓拍机、路口前置终端服务模块的工作状态做巡检。</w:t>
            </w:r>
          </w:p>
        </w:tc>
      </w:tr>
      <w:tr>
        <w:tc>
          <w:tcPr>
            <w:tcW w:type="dxa" w:w="196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设备数据处理能力</w:t>
            </w:r>
          </w:p>
        </w:tc>
        <w:tc>
          <w:tcPr>
            <w:tcW w:type="dxa" w:w="63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单台中心管理服务模块性能</w:t>
            </w:r>
            <w:r>
              <w:rPr>
                <w:sz w:val="21"/>
              </w:rPr>
              <w:t>≥500车道/台。</w:t>
            </w:r>
          </w:p>
        </w:tc>
      </w:tr>
      <w:tr>
        <w:tc>
          <w:tcPr>
            <w:tcW w:type="dxa" w:w="77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b/>
              </w:rPr>
              <w:t>要求处理数据情况</w:t>
            </w:r>
          </w:p>
        </w:tc>
        <w:tc>
          <w:tcPr>
            <w:tcW w:type="dxa" w:w="1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本项目所需处理量</w:t>
            </w:r>
          </w:p>
        </w:tc>
        <w:tc>
          <w:tcPr>
            <w:tcW w:type="dxa" w:w="63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20"/>
              <w:jc w:val="both"/>
            </w:pPr>
            <w:r>
              <w:rPr>
                <w:sz w:val="21"/>
                <w:b/>
              </w:rPr>
              <w:t>本期</w:t>
            </w:r>
            <w:r>
              <w:rPr>
                <w:sz w:val="21"/>
                <w:b/>
              </w:rPr>
              <w:t>29个监控方向共62条车道；</w:t>
            </w:r>
          </w:p>
          <w:p>
            <w:pPr>
              <w:pStyle w:val="null3"/>
              <w:spacing w:after="120"/>
              <w:jc w:val="both"/>
            </w:pPr>
            <w:r>
              <w:rPr>
                <w:sz w:val="21"/>
                <w:b/>
              </w:rPr>
              <w:t>原有</w:t>
            </w:r>
            <w:r>
              <w:rPr>
                <w:sz w:val="21"/>
                <w:b/>
              </w:rPr>
              <w:t>77</w:t>
            </w:r>
            <w:r>
              <w:rPr>
                <w:sz w:val="21"/>
                <w:b/>
              </w:rPr>
              <w:t>个监控方向共</w:t>
            </w:r>
            <w:r>
              <w:rPr>
                <w:sz w:val="21"/>
                <w:b/>
              </w:rPr>
              <w:t>231</w:t>
            </w:r>
            <w:r>
              <w:rPr>
                <w:sz w:val="21"/>
                <w:b/>
              </w:rPr>
              <w:t>条车道</w:t>
            </w:r>
          </w:p>
          <w:p>
            <w:pPr>
              <w:pStyle w:val="null3"/>
              <w:spacing w:after="120"/>
              <w:jc w:val="both"/>
            </w:pPr>
            <w:r>
              <w:rPr>
                <w:sz w:val="21"/>
                <w:b/>
              </w:rPr>
              <w:t>合计：</w:t>
            </w:r>
            <w:r>
              <w:rPr>
                <w:sz w:val="21"/>
                <w:b/>
              </w:rPr>
              <w:t>122</w:t>
            </w:r>
            <w:r>
              <w:rPr>
                <w:sz w:val="21"/>
                <w:b/>
              </w:rPr>
              <w:t>个方向</w:t>
            </w:r>
            <w:r>
              <w:rPr>
                <w:sz w:val="21"/>
                <w:b/>
              </w:rPr>
              <w:t>366</w:t>
            </w:r>
            <w:r>
              <w:rPr>
                <w:sz w:val="21"/>
                <w:b/>
              </w:rPr>
              <w:t>条车道</w:t>
            </w:r>
          </w:p>
        </w:tc>
      </w:tr>
      <w:tr>
        <w:tc>
          <w:tcPr>
            <w:tcW w:type="dxa" w:w="196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原有设备数量（台）</w:t>
            </w:r>
          </w:p>
        </w:tc>
        <w:tc>
          <w:tcPr>
            <w:tcW w:type="dxa" w:w="63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r>
      <w:tr>
        <w:tc>
          <w:tcPr>
            <w:tcW w:type="dxa" w:w="196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需求设备数量（台）</w:t>
            </w:r>
          </w:p>
        </w:tc>
        <w:tc>
          <w:tcPr>
            <w:tcW w:type="dxa" w:w="63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r>
      <w:tr>
        <w:tc>
          <w:tcPr>
            <w:tcW w:type="dxa" w:w="196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设备扩展需求数（台）</w:t>
            </w:r>
          </w:p>
        </w:tc>
        <w:tc>
          <w:tcPr>
            <w:tcW w:type="dxa" w:w="63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r>
      <w:tr>
        <w:tc>
          <w:tcPr>
            <w:tcW w:type="dxa" w:w="196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备注</w:t>
            </w:r>
          </w:p>
        </w:tc>
        <w:tc>
          <w:tcPr>
            <w:tcW w:type="dxa" w:w="63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bl>
    <w:p>
      <w:pPr>
        <w:pStyle w:val="null3"/>
        <w:jc w:val="both"/>
      </w:pPr>
      <w:r>
        <w:rPr>
          <w:sz w:val="21"/>
          <w:b/>
        </w:rPr>
        <w:t>因此，本项目将新增中心管理服务模块。</w:t>
      </w:r>
    </w:p>
    <w:p>
      <w:pPr>
        <w:pStyle w:val="null3"/>
        <w:ind w:left="990"/>
        <w:jc w:val="both"/>
        <w:outlineLvl w:val="4"/>
      </w:pPr>
      <w:r>
        <w:rPr>
          <w:sz w:val="21"/>
          <w:b/>
        </w:rPr>
        <w:t>2.2.2.2.2.流媒体服务模块需求及分析</w:t>
      </w:r>
    </w:p>
    <w:p>
      <w:pPr>
        <w:pStyle w:val="null3"/>
        <w:ind w:firstLine="420"/>
        <w:jc w:val="both"/>
      </w:pPr>
      <w:r>
        <w:rPr>
          <w:sz w:val="21"/>
        </w:rPr>
        <w:t>本期工程需部署流媒体服务模块，用作专门负责各客户端与系统平台间的视频数据交换的流媒体服务模块。各客户端均向系统数据库提取数据。</w:t>
      </w:r>
    </w:p>
    <w:p>
      <w:pPr>
        <w:pStyle w:val="null3"/>
        <w:ind w:firstLine="420"/>
        <w:jc w:val="both"/>
      </w:pPr>
      <w:r>
        <w:rPr>
          <w:sz w:val="21"/>
        </w:rPr>
        <w:t>系统对流媒体服务模块需求情况见下表：</w:t>
      </w:r>
    </w:p>
    <w:tbl>
      <w:tblPr>
        <w:tblW w:w="0" w:type="auto"/>
        <w:tblBorders>
          <w:top w:val="none" w:color="000000" w:sz="4"/>
          <w:left w:val="none" w:color="000000" w:sz="4"/>
          <w:bottom w:val="none" w:color="000000" w:sz="4"/>
          <w:right w:val="none" w:color="000000" w:sz="4"/>
          <w:insideH w:val="none"/>
          <w:insideV w:val="none"/>
        </w:tblBorders>
      </w:tblPr>
      <w:tblGrid>
        <w:gridCol w:w="2316"/>
        <w:gridCol w:w="5989"/>
      </w:tblGrid>
      <w:tr>
        <w:tc>
          <w:tcPr>
            <w:tcW w:type="dxa" w:w="231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设备名称</w:t>
            </w:r>
          </w:p>
        </w:tc>
        <w:tc>
          <w:tcPr>
            <w:tcW w:type="dxa" w:w="598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流媒体服务模块</w:t>
            </w:r>
          </w:p>
        </w:tc>
      </w:tr>
      <w:tr>
        <w:tc>
          <w:tcPr>
            <w:tcW w:type="dxa" w:w="2316"/>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设备工作说明</w:t>
            </w:r>
          </w:p>
        </w:tc>
        <w:tc>
          <w:tcPr>
            <w:tcW w:type="dxa" w:w="59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流媒体服务模块用于多用户复用相同现场图像的流媒体转发管理和现场流媒体带宽限制管理，限制管理的策略包括路数、用户优先级和事件优先级等。</w:t>
            </w:r>
          </w:p>
          <w:p>
            <w:pPr>
              <w:pStyle w:val="null3"/>
              <w:jc w:val="both"/>
            </w:pPr>
            <w:r>
              <w:rPr>
                <w:sz w:val="21"/>
              </w:rPr>
              <w:t>支持实时视频数据的转发及分发，对带宽进行合理使用，支持用户和事件的优先级管理，支持级联和分布式部署，支持视频流相关的统计信息。</w:t>
            </w:r>
          </w:p>
          <w:p>
            <w:pPr>
              <w:pStyle w:val="null3"/>
              <w:jc w:val="both"/>
            </w:pPr>
            <w:r>
              <w:rPr>
                <w:sz w:val="21"/>
              </w:rPr>
              <w:t>流媒体实现从设备取视频码流分发给客户端、存储服务模块、联网网服务模块、解码器等。</w:t>
            </w:r>
          </w:p>
        </w:tc>
      </w:tr>
      <w:tr>
        <w:tc>
          <w:tcPr>
            <w:tcW w:type="dxa" w:w="2316"/>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设备数据处理能力</w:t>
            </w:r>
          </w:p>
        </w:tc>
        <w:tc>
          <w:tcPr>
            <w:tcW w:type="dxa" w:w="59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单台媒体服务模块支持</w:t>
            </w:r>
            <w:r>
              <w:rPr>
                <w:sz w:val="21"/>
              </w:rPr>
              <w:t>≥200路2Mbps码流的转发</w:t>
            </w:r>
          </w:p>
        </w:tc>
      </w:tr>
      <w:tr>
        <w:tc>
          <w:tcPr>
            <w:tcW w:type="dxa" w:w="2316"/>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原有设备数量（台）</w:t>
            </w:r>
          </w:p>
        </w:tc>
        <w:tc>
          <w:tcPr>
            <w:tcW w:type="dxa" w:w="59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r>
      <w:tr>
        <w:tc>
          <w:tcPr>
            <w:tcW w:type="dxa" w:w="2316"/>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需求设备数量（台）</w:t>
            </w:r>
          </w:p>
        </w:tc>
        <w:tc>
          <w:tcPr>
            <w:tcW w:type="dxa" w:w="59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r>
      <w:tr>
        <w:tc>
          <w:tcPr>
            <w:tcW w:type="dxa" w:w="23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设备扩展需求数（台）</w:t>
            </w:r>
          </w:p>
        </w:tc>
        <w:tc>
          <w:tcPr>
            <w:tcW w:type="dxa" w:w="59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r>
      <w:tr>
        <w:tc>
          <w:tcPr>
            <w:tcW w:type="dxa" w:w="231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备注</w:t>
            </w:r>
          </w:p>
        </w:tc>
        <w:tc>
          <w:tcPr>
            <w:tcW w:type="dxa" w:w="59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根据大队反映，</w:t>
            </w:r>
            <w:r>
              <w:rPr>
                <w:sz w:val="21"/>
              </w:rPr>
              <w:t>≥200路2Mbps码流的转发</w:t>
            </w:r>
            <w:r>
              <w:rPr>
                <w:sz w:val="21"/>
              </w:rPr>
              <w:t>，足够使用。</w:t>
            </w:r>
          </w:p>
        </w:tc>
      </w:tr>
    </w:tbl>
    <w:p>
      <w:pPr>
        <w:pStyle w:val="null3"/>
        <w:ind w:firstLine="422"/>
        <w:jc w:val="both"/>
      </w:pPr>
      <w:r>
        <w:rPr>
          <w:sz w:val="21"/>
          <w:b/>
        </w:rPr>
        <w:t>因此，本项目将利旧流媒体服务模块。</w:t>
      </w:r>
    </w:p>
    <w:p>
      <w:pPr>
        <w:pStyle w:val="null3"/>
        <w:ind w:left="990"/>
        <w:jc w:val="both"/>
        <w:outlineLvl w:val="4"/>
      </w:pPr>
      <w:r>
        <w:rPr>
          <w:sz w:val="21"/>
          <w:b/>
        </w:rPr>
        <w:t>2.2.2.2.3.数据库服务模块需求及分析</w:t>
      </w:r>
    </w:p>
    <w:p>
      <w:pPr>
        <w:pStyle w:val="null3"/>
        <w:ind w:firstLine="420"/>
        <w:jc w:val="both"/>
      </w:pPr>
      <w:r>
        <w:rPr>
          <w:sz w:val="21"/>
        </w:rPr>
        <w:t>本期工程需部署数据库服务模块，用于负责系统数据库管理。</w:t>
      </w:r>
    </w:p>
    <w:p>
      <w:pPr>
        <w:pStyle w:val="null3"/>
        <w:ind w:firstLine="420"/>
        <w:jc w:val="both"/>
      </w:pPr>
      <w:r>
        <w:rPr>
          <w:sz w:val="21"/>
        </w:rPr>
        <w:t>系统对数据库服务模块需求情况见下表：</w:t>
      </w:r>
    </w:p>
    <w:tbl>
      <w:tblPr>
        <w:tblW w:w="0" w:type="auto"/>
        <w:tblBorders>
          <w:top w:val="none" w:color="000000" w:sz="4"/>
          <w:left w:val="none" w:color="000000" w:sz="4"/>
          <w:bottom w:val="none" w:color="000000" w:sz="4"/>
          <w:right w:val="none" w:color="000000" w:sz="4"/>
          <w:insideH w:val="none"/>
          <w:insideV w:val="none"/>
        </w:tblBorders>
      </w:tblPr>
      <w:tblGrid>
        <w:gridCol w:w="2359"/>
        <w:gridCol w:w="5945"/>
      </w:tblGrid>
      <w:tr>
        <w:tc>
          <w:tcPr>
            <w:tcW w:type="dxa" w:w="235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设备名称</w:t>
            </w:r>
          </w:p>
        </w:tc>
        <w:tc>
          <w:tcPr>
            <w:tcW w:type="dxa" w:w="594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数据库服务模块</w:t>
            </w:r>
          </w:p>
        </w:tc>
      </w:tr>
      <w:tr>
        <w:tc>
          <w:tcPr>
            <w:tcW w:type="dxa" w:w="2359"/>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设备工作说明</w:t>
            </w:r>
          </w:p>
        </w:tc>
        <w:tc>
          <w:tcPr>
            <w:tcW w:type="dxa" w:w="594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存储系统用户信息、设备资源信息、运行日志、交通数据信息、配置信息等数据</w:t>
            </w:r>
          </w:p>
        </w:tc>
      </w:tr>
      <w:tr>
        <w:tc>
          <w:tcPr>
            <w:tcW w:type="dxa" w:w="2359"/>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设备数据处理能力</w:t>
            </w:r>
          </w:p>
        </w:tc>
        <w:tc>
          <w:tcPr>
            <w:tcW w:type="dxa" w:w="594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支持3亿条过车信息存储,3亿条过车信息的数据检索服务</w:t>
            </w:r>
          </w:p>
        </w:tc>
      </w:tr>
      <w:tr>
        <w:tc>
          <w:tcPr>
            <w:tcW w:type="dxa" w:w="2359"/>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原有设备数量（台）</w:t>
            </w:r>
          </w:p>
        </w:tc>
        <w:tc>
          <w:tcPr>
            <w:tcW w:type="dxa" w:w="594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r>
      <w:tr>
        <w:tc>
          <w:tcPr>
            <w:tcW w:type="dxa" w:w="2359"/>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需求设备数量（台）</w:t>
            </w:r>
          </w:p>
        </w:tc>
        <w:tc>
          <w:tcPr>
            <w:tcW w:type="dxa" w:w="594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r>
      <w:tr>
        <w:tc>
          <w:tcPr>
            <w:tcW w:type="dxa" w:w="23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设备扩展需求数（台）</w:t>
            </w:r>
          </w:p>
        </w:tc>
        <w:tc>
          <w:tcPr>
            <w:tcW w:type="dxa" w:w="59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0</w:t>
            </w:r>
          </w:p>
        </w:tc>
      </w:tr>
      <w:tr>
        <w:tc>
          <w:tcPr>
            <w:tcW w:type="dxa" w:w="23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备注</w:t>
            </w:r>
          </w:p>
        </w:tc>
        <w:tc>
          <w:tcPr>
            <w:tcW w:type="dxa" w:w="59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根据设备条件、设备实际使用情况进行分析，理论上一台服务模块可支持整个系统数据库管理。</w:t>
            </w:r>
          </w:p>
        </w:tc>
      </w:tr>
    </w:tbl>
    <w:p>
      <w:pPr>
        <w:pStyle w:val="null3"/>
        <w:jc w:val="both"/>
      </w:pPr>
      <w:r>
        <w:rPr>
          <w:sz w:val="21"/>
          <w:b/>
        </w:rPr>
        <w:t>因此，本项目将利旧数据库服务模块。</w:t>
      </w:r>
    </w:p>
    <w:p>
      <w:pPr>
        <w:pStyle w:val="null3"/>
        <w:ind w:firstLine="422"/>
        <w:jc w:val="both"/>
        <w:outlineLvl w:val="4"/>
      </w:pPr>
      <w:r>
        <w:rPr>
          <w:sz w:val="21"/>
          <w:b/>
        </w:rPr>
        <w:t>2.2.2.2.4.对接服务模块需求及分析</w:t>
      </w:r>
    </w:p>
    <w:p>
      <w:pPr>
        <w:pStyle w:val="null3"/>
        <w:ind w:firstLine="420"/>
        <w:jc w:val="both"/>
      </w:pPr>
      <w:r>
        <w:rPr>
          <w:sz w:val="21"/>
        </w:rPr>
        <w:t>本期工程需部署对接服务模块，</w:t>
      </w:r>
      <w:r>
        <w:rPr>
          <w:sz w:val="21"/>
        </w:rPr>
        <w:t>用于民众街道交警大队上传车辆通行信息至中山市公安局视频云</w:t>
      </w:r>
      <w:r>
        <w:rPr>
          <w:sz w:val="21"/>
        </w:rPr>
        <w:t>。系统对对接服务模块需求情况见下表：</w:t>
      </w:r>
    </w:p>
    <w:tbl>
      <w:tblPr>
        <w:tblW w:w="0" w:type="auto"/>
        <w:tblBorders>
          <w:top w:val="none" w:color="000000" w:sz="4"/>
          <w:left w:val="none" w:color="000000" w:sz="4"/>
          <w:bottom w:val="none" w:color="000000" w:sz="4"/>
          <w:right w:val="none" w:color="000000" w:sz="4"/>
          <w:insideH w:val="none"/>
          <w:insideV w:val="none"/>
        </w:tblBorders>
      </w:tblPr>
      <w:tblGrid>
        <w:gridCol w:w="2359"/>
        <w:gridCol w:w="5945"/>
      </w:tblGrid>
      <w:tr>
        <w:tc>
          <w:tcPr>
            <w:tcW w:type="dxa" w:w="235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设备名称</w:t>
            </w:r>
          </w:p>
        </w:tc>
        <w:tc>
          <w:tcPr>
            <w:tcW w:type="dxa" w:w="594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对接服务模块</w:t>
            </w:r>
          </w:p>
        </w:tc>
      </w:tr>
      <w:tr>
        <w:tc>
          <w:tcPr>
            <w:tcW w:type="dxa" w:w="2359"/>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设备工作说明</w:t>
            </w:r>
          </w:p>
        </w:tc>
        <w:tc>
          <w:tcPr>
            <w:tcW w:type="dxa" w:w="594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民众街道交警大队平台-中山市公安局视频云（车辆通行信息）</w:t>
            </w:r>
          </w:p>
        </w:tc>
      </w:tr>
      <w:tr>
        <w:tc>
          <w:tcPr>
            <w:tcW w:type="dxa" w:w="2359"/>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设备数据处理能力</w:t>
            </w:r>
          </w:p>
        </w:tc>
        <w:tc>
          <w:tcPr>
            <w:tcW w:type="dxa" w:w="594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根据市局视频云协议，通过定制开发实现与市局视频云对接，负责平台之间的级联或互联服务，包含信令通讯模块、媒体网关模块、交通网关模块：</w:t>
            </w:r>
          </w:p>
          <w:p>
            <w:pPr>
              <w:pStyle w:val="null3"/>
              <w:jc w:val="both"/>
            </w:pPr>
            <w:r>
              <w:rPr>
                <w:sz w:val="21"/>
              </w:rPr>
              <w:t>信令通讯模块：主要完成组织目录推送、视频控制信令转发、报警信息转发等功能。</w:t>
            </w:r>
          </w:p>
          <w:p>
            <w:pPr>
              <w:pStyle w:val="null3"/>
              <w:jc w:val="both"/>
            </w:pPr>
            <w:r>
              <w:rPr>
                <w:sz w:val="21"/>
              </w:rPr>
              <w:t>媒体网关模块：实现视频流数据在级联或互联中的转发和分发。</w:t>
            </w:r>
          </w:p>
          <w:p>
            <w:pPr>
              <w:pStyle w:val="null3"/>
              <w:jc w:val="both"/>
            </w:pPr>
            <w:r>
              <w:rPr>
                <w:sz w:val="21"/>
              </w:rPr>
              <w:t>交通网关模块：实现车辆抓拍信息和图片数据在平台级联或互联中的转发。</w:t>
            </w:r>
          </w:p>
        </w:tc>
      </w:tr>
      <w:tr>
        <w:tc>
          <w:tcPr>
            <w:tcW w:type="dxa" w:w="2359"/>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原有设备数量（台）</w:t>
            </w:r>
          </w:p>
        </w:tc>
        <w:tc>
          <w:tcPr>
            <w:tcW w:type="dxa" w:w="594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r>
      <w:tr>
        <w:tc>
          <w:tcPr>
            <w:tcW w:type="dxa" w:w="2359"/>
            <w:tcBorders>
              <w:top w:val="none" w:color="000000" w:sz="4"/>
              <w:left w:val="single" w:color="000000" w:sz="4"/>
              <w:bottom w:val="single" w:color="000000" w:sz="4"/>
              <w:right w:val="none" w:color="000000" w:sz="4"/>
            </w:tcBorders>
            <w:tcMar>
              <w:top w:type="dxa" w:w="0"/>
              <w:left w:type="dxa" w:w="105"/>
              <w:bottom w:type="dxa" w:w="0"/>
              <w:right w:type="dxa" w:w="105"/>
            </w:tcMar>
            <w:vAlign w:val="top"/>
          </w:tcPr>
          <w:p>
            <w:pPr>
              <w:pStyle w:val="null3"/>
              <w:jc w:val="center"/>
            </w:pPr>
            <w:r>
              <w:rPr>
                <w:sz w:val="21"/>
                <w:b/>
              </w:rPr>
              <w:t>需求设备数量（台）</w:t>
            </w:r>
          </w:p>
        </w:tc>
        <w:tc>
          <w:tcPr>
            <w:tcW w:type="dxa" w:w="594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r>
      <w:tr>
        <w:tc>
          <w:tcPr>
            <w:tcW w:type="dxa" w:w="23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设备扩展需求数（台）</w:t>
            </w:r>
          </w:p>
        </w:tc>
        <w:tc>
          <w:tcPr>
            <w:tcW w:type="dxa" w:w="59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r>
      <w:tr>
        <w:tc>
          <w:tcPr>
            <w:tcW w:type="dxa" w:w="23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备注</w:t>
            </w:r>
          </w:p>
        </w:tc>
        <w:tc>
          <w:tcPr>
            <w:tcW w:type="dxa" w:w="594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1、根据设备条件、设备实际使用情况进行分析，理论上一台服务模块可实现卡口数据对接。</w:t>
            </w:r>
          </w:p>
        </w:tc>
      </w:tr>
    </w:tbl>
    <w:p>
      <w:pPr>
        <w:pStyle w:val="null3"/>
        <w:jc w:val="both"/>
      </w:pPr>
      <w:r>
        <w:rPr>
          <w:sz w:val="21"/>
          <w:b/>
        </w:rPr>
        <w:t>因此，本项目将新增对接服务模块。</w:t>
      </w:r>
    </w:p>
    <w:p>
      <w:pPr>
        <w:pStyle w:val="null3"/>
        <w:ind w:firstLine="422"/>
        <w:jc w:val="both"/>
      </w:pPr>
      <w:r>
        <w:rPr>
          <w:sz w:val="21"/>
          <w:b/>
        </w:rPr>
        <w:t>2.3.系统功能需求</w:t>
      </w:r>
    </w:p>
    <w:p>
      <w:pPr>
        <w:pStyle w:val="null3"/>
        <w:ind w:firstLine="422"/>
        <w:jc w:val="both"/>
      </w:pPr>
      <w:r>
        <w:rPr>
          <w:sz w:val="21"/>
          <w:b/>
        </w:rPr>
        <w:t>2.3.1.交通违法行为电子警察抓拍系统前端功能需求</w:t>
      </w:r>
    </w:p>
    <w:p>
      <w:pPr>
        <w:pStyle w:val="null3"/>
        <w:ind w:firstLine="420"/>
        <w:jc w:val="both"/>
      </w:pPr>
      <w:r>
        <w:rPr>
          <w:sz w:val="21"/>
        </w:rPr>
        <w:t>本项目建设的交通违法行为电子警察抓拍系统应能按照民众街道道路交通技术监控系统规定的接口协议接入到系统中心管理平台，并且能够按照今后民众街道道路交通技术监控系统接口升级要求进行配套升级。</w:t>
      </w:r>
    </w:p>
    <w:p>
      <w:pPr>
        <w:pStyle w:val="null3"/>
        <w:ind w:firstLine="420"/>
        <w:jc w:val="both"/>
      </w:pPr>
      <w:r>
        <w:rPr>
          <w:sz w:val="21"/>
        </w:rPr>
        <w:t>交通违法行为电子警察抓拍系统应满足以下主要功能要求：</w:t>
      </w:r>
    </w:p>
    <w:p>
      <w:pPr>
        <w:pStyle w:val="null3"/>
        <w:ind w:firstLine="420"/>
        <w:jc w:val="both"/>
      </w:pPr>
      <w:r>
        <w:rPr>
          <w:sz w:val="21"/>
        </w:rPr>
        <w:t>（</w:t>
      </w:r>
      <w:r>
        <w:rPr>
          <w:sz w:val="21"/>
        </w:rPr>
        <w:t>1）系统前端应具备号牌自动识别功能，能自动识别出通过车辆的号牌。</w:t>
      </w:r>
    </w:p>
    <w:p>
      <w:pPr>
        <w:pStyle w:val="null3"/>
        <w:ind w:firstLine="420"/>
        <w:jc w:val="both"/>
      </w:pPr>
      <w:r>
        <w:rPr>
          <w:sz w:val="21"/>
        </w:rPr>
        <w:t>（</w:t>
      </w:r>
      <w:r>
        <w:rPr>
          <w:sz w:val="21"/>
        </w:rPr>
        <w:t>2）系统前端应具备二次识别及人脸分析功能。</w:t>
      </w:r>
    </w:p>
    <w:p>
      <w:pPr>
        <w:pStyle w:val="null3"/>
        <w:ind w:firstLine="422"/>
        <w:jc w:val="both"/>
      </w:pPr>
      <w:r>
        <w:rPr>
          <w:sz w:val="21"/>
          <w:b/>
        </w:rPr>
        <w:t>（</w:t>
      </w:r>
      <w:r>
        <w:rPr>
          <w:sz w:val="21"/>
          <w:b/>
        </w:rPr>
        <w:t>3）系统前端应具备车内驾乘人脸识别及人脸分析功能</w:t>
      </w:r>
      <w:r>
        <w:rPr>
          <w:sz w:val="21"/>
        </w:rPr>
        <w:t>。</w:t>
      </w:r>
    </w:p>
    <w:p>
      <w:pPr>
        <w:pStyle w:val="null3"/>
        <w:ind w:firstLine="420"/>
        <w:jc w:val="both"/>
      </w:pPr>
      <w:r>
        <w:rPr>
          <w:sz w:val="21"/>
        </w:rPr>
        <w:t>（</w:t>
      </w:r>
      <w:r>
        <w:rPr>
          <w:sz w:val="21"/>
        </w:rPr>
        <w:t>4）系统前端应具备车辆通行信息记录功能，能自动记录通行车辆不少于2张车辆前部全景图像信息。</w:t>
      </w:r>
    </w:p>
    <w:p>
      <w:pPr>
        <w:pStyle w:val="null3"/>
        <w:ind w:firstLine="420"/>
        <w:jc w:val="both"/>
      </w:pPr>
      <w:r>
        <w:rPr>
          <w:sz w:val="21"/>
        </w:rPr>
        <w:t>（</w:t>
      </w:r>
      <w:r>
        <w:rPr>
          <w:sz w:val="21"/>
        </w:rPr>
        <w:t>5）系统前端应具备交通违法行为记录功能，能对行驶通过监测区域内的车辆进行检测，对车辆通过监测区域过程进行分析，自动抓拍交通违法行为，并自动记录机动车交通违法信息。</w:t>
      </w:r>
    </w:p>
    <w:p>
      <w:pPr>
        <w:pStyle w:val="null3"/>
        <w:ind w:firstLine="420"/>
        <w:jc w:val="both"/>
      </w:pPr>
      <w:r>
        <w:rPr>
          <w:sz w:val="21"/>
        </w:rPr>
        <w:t>（</w:t>
      </w:r>
      <w:r>
        <w:rPr>
          <w:sz w:val="21"/>
        </w:rPr>
        <w:t>6）系统前端应具备实时视频监控功能，能对监测区域内进行实时视频监控，并自动记录交通视频信息。</w:t>
      </w:r>
    </w:p>
    <w:p>
      <w:pPr>
        <w:pStyle w:val="null3"/>
        <w:ind w:firstLine="420"/>
        <w:jc w:val="both"/>
      </w:pPr>
      <w:r>
        <w:rPr>
          <w:sz w:val="21"/>
        </w:rPr>
        <w:t>（</w:t>
      </w:r>
      <w:r>
        <w:rPr>
          <w:sz w:val="21"/>
        </w:rPr>
        <w:t>7）系统前端应具备交通流信息采集功能，能对监测区域内的每个行驶方向实现交通流信息采集，并自动记录交通流信息。</w:t>
      </w:r>
    </w:p>
    <w:p>
      <w:pPr>
        <w:pStyle w:val="null3"/>
        <w:ind w:firstLine="420"/>
        <w:jc w:val="both"/>
      </w:pPr>
      <w:r>
        <w:rPr>
          <w:sz w:val="21"/>
        </w:rPr>
        <w:t>（</w:t>
      </w:r>
      <w:r>
        <w:rPr>
          <w:sz w:val="21"/>
        </w:rPr>
        <w:t>8）系统前端应具备手动违法抓拍功能，能人工操控设备对监测区域内机动车交通违法行为进行手动抓拍。确认违法后，可以进行违法过程连续图像抓拍和录像，记录违法车辆全景图像和违法过程录像。</w:t>
      </w:r>
    </w:p>
    <w:p>
      <w:pPr>
        <w:pStyle w:val="null3"/>
        <w:ind w:firstLine="420"/>
        <w:jc w:val="both"/>
      </w:pPr>
      <w:r>
        <w:rPr>
          <w:sz w:val="21"/>
        </w:rPr>
        <w:t>（</w:t>
      </w:r>
      <w:r>
        <w:rPr>
          <w:sz w:val="21"/>
        </w:rPr>
        <w:t>9）系统采集的各项数据需按照民众原平台提供的数据接口接入到中山市民众街道智能交通综合管控平台。</w:t>
      </w:r>
    </w:p>
    <w:p>
      <w:pPr>
        <w:pStyle w:val="null3"/>
        <w:ind w:left="705"/>
        <w:jc w:val="both"/>
        <w:outlineLvl w:val="2"/>
      </w:pPr>
      <w:r>
        <w:rPr>
          <w:sz w:val="21"/>
          <w:b/>
        </w:rPr>
        <w:t>2.3.2.</w:t>
      </w:r>
      <w:r>
        <w:rPr>
          <w:sz w:val="21"/>
          <w:b/>
        </w:rPr>
        <w:t>视频监控</w:t>
      </w:r>
      <w:r>
        <w:rPr>
          <w:sz w:val="21"/>
          <w:b/>
        </w:rPr>
        <w:t>自动</w:t>
      </w:r>
      <w:r>
        <w:rPr>
          <w:sz w:val="21"/>
          <w:b/>
        </w:rPr>
        <w:t>/</w:t>
      </w:r>
      <w:r>
        <w:rPr>
          <w:sz w:val="21"/>
          <w:b/>
        </w:rPr>
        <w:t>手动违法抓拍取证系统前端功能需求</w:t>
      </w:r>
    </w:p>
    <w:p>
      <w:pPr>
        <w:pStyle w:val="null3"/>
        <w:ind w:firstLine="420"/>
        <w:jc w:val="both"/>
      </w:pPr>
      <w:r>
        <w:rPr>
          <w:sz w:val="21"/>
        </w:rPr>
        <w:t>本项目建设的视频监控手动违法抓拍取证系统应能按照民众街道道路交通技术监控系统规定的接口协议接入到系统中心管理平台，并且能够按照今后民众街道道路交通技术监控系统接口升级要求进行配套升级。</w:t>
      </w:r>
    </w:p>
    <w:p>
      <w:pPr>
        <w:pStyle w:val="null3"/>
        <w:ind w:firstLine="420"/>
        <w:jc w:val="both"/>
      </w:pPr>
      <w:r>
        <w:rPr>
          <w:sz w:val="21"/>
        </w:rPr>
        <w:t>视频监控手动违法抓拍取证系统应满足以下主要功能要求：</w:t>
      </w:r>
    </w:p>
    <w:p>
      <w:pPr>
        <w:pStyle w:val="null3"/>
        <w:ind w:firstLine="420"/>
        <w:jc w:val="both"/>
      </w:pPr>
      <w:r>
        <w:rPr>
          <w:sz w:val="21"/>
        </w:rPr>
        <w:t>（</w:t>
      </w:r>
      <w:r>
        <w:rPr>
          <w:sz w:val="21"/>
        </w:rPr>
        <w:t>1）系统前端应具备远程控制功能，能对系统前端的高清高速球型摄像机进行远程控制。</w:t>
      </w:r>
    </w:p>
    <w:p>
      <w:pPr>
        <w:pStyle w:val="null3"/>
        <w:ind w:firstLine="420"/>
        <w:jc w:val="both"/>
      </w:pPr>
      <w:r>
        <w:rPr>
          <w:sz w:val="21"/>
        </w:rPr>
        <w:t>（</w:t>
      </w:r>
      <w:r>
        <w:rPr>
          <w:sz w:val="21"/>
        </w:rPr>
        <w:t>2）系统前端应具备实时视频监控功能，能对监测区域内的预置点</w:t>
      </w:r>
      <w:r>
        <w:rPr>
          <w:sz w:val="21"/>
        </w:rPr>
        <w:t>位</w:t>
      </w:r>
      <w:r>
        <w:rPr>
          <w:sz w:val="21"/>
        </w:rPr>
        <w:t>（根据操作员设定）进行实时视频监控，并自动记录交通视频信息。</w:t>
      </w:r>
    </w:p>
    <w:p>
      <w:pPr>
        <w:pStyle w:val="null3"/>
        <w:ind w:firstLine="420"/>
        <w:jc w:val="both"/>
      </w:pPr>
      <w:r>
        <w:rPr>
          <w:sz w:val="21"/>
        </w:rPr>
        <w:t>（</w:t>
      </w:r>
      <w:r>
        <w:rPr>
          <w:sz w:val="21"/>
        </w:rPr>
        <w:t>3）系统前端应具备自/手动违法抓拍功能，能人工操控设备对监测区域内机动车交通违法行为进行手动抓拍。确认违法后，可以进行违法过程连续图像抓拍和录像，记录违法车辆全景图像和违法过程录像。</w:t>
      </w:r>
    </w:p>
    <w:p>
      <w:pPr>
        <w:pStyle w:val="null3"/>
        <w:ind w:firstLine="420"/>
        <w:jc w:val="both"/>
      </w:pPr>
      <w:r>
        <w:rPr>
          <w:sz w:val="21"/>
        </w:rPr>
        <w:t>（</w:t>
      </w:r>
      <w:r>
        <w:rPr>
          <w:sz w:val="21"/>
        </w:rPr>
        <w:t>4）系统采集的各项数据需按照民众分局平台提供的数据接口接入到中山市民众街道智能交通综合管控平台。</w:t>
      </w:r>
    </w:p>
    <w:p>
      <w:pPr>
        <w:pStyle w:val="null3"/>
        <w:ind w:left="705"/>
        <w:jc w:val="both"/>
        <w:outlineLvl w:val="2"/>
      </w:pPr>
      <w:r>
        <w:rPr>
          <w:sz w:val="21"/>
          <w:b/>
        </w:rPr>
        <w:t>2.3.3.</w:t>
      </w:r>
      <w:r>
        <w:rPr>
          <w:sz w:val="21"/>
          <w:b/>
        </w:rPr>
        <w:t>系统中心管理平台建设需求</w:t>
      </w:r>
    </w:p>
    <w:p>
      <w:pPr>
        <w:pStyle w:val="null3"/>
        <w:ind w:firstLine="420"/>
        <w:jc w:val="both"/>
      </w:pPr>
      <w:r>
        <w:rPr>
          <w:sz w:val="21"/>
        </w:rPr>
        <w:t>本项目利旧原有交通平台，建设内容主要为</w:t>
      </w:r>
      <w:r>
        <w:rPr>
          <w:sz w:val="21"/>
          <w:b/>
        </w:rPr>
        <w:t>新增</w:t>
      </w:r>
      <w:r>
        <w:rPr>
          <w:sz w:val="21"/>
          <w:b/>
        </w:rPr>
        <w:t>1台汇聚交换模块、1台接入层交换模块、2台服务器主机、1套36盘位磁盘阵列和36块10T企业级硬盘</w:t>
      </w:r>
      <w:r>
        <w:rPr>
          <w:sz w:val="21"/>
        </w:rPr>
        <w:t>。</w:t>
      </w:r>
    </w:p>
    <w:p>
      <w:pPr>
        <w:pStyle w:val="null3"/>
        <w:ind w:firstLine="422"/>
        <w:jc w:val="both"/>
      </w:pPr>
      <w:r>
        <w:rPr>
          <w:sz w:val="21"/>
          <w:b/>
        </w:rPr>
        <w:t>3.建设方案</w:t>
      </w:r>
    </w:p>
    <w:p>
      <w:pPr>
        <w:pStyle w:val="null3"/>
        <w:ind w:firstLine="422"/>
        <w:jc w:val="both"/>
      </w:pPr>
      <w:r>
        <w:rPr>
          <w:sz w:val="21"/>
          <w:b/>
        </w:rPr>
        <w:t>3.1.系统总体架构</w:t>
      </w:r>
    </w:p>
    <w:p>
      <w:pPr>
        <w:pStyle w:val="null3"/>
        <w:spacing w:before="120" w:after="120"/>
        <w:jc w:val="center"/>
      </w:pPr>
      <w:r>
        <w:drawing>
          <wp:inline distT="0" distR="0" distB="0" distL="0">
            <wp:extent cx="5274310" cy="3983394"/>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5274310" cy="3983394"/>
                    </a:xfrm>
                    <a:prstGeom prst="rect">
                      <a:avLst/>
                    </a:prstGeom>
                  </pic:spPr>
                </pic:pic>
              </a:graphicData>
            </a:graphic>
          </wp:inline>
        </w:drawing>
      </w:r>
    </w:p>
    <w:p>
      <w:pPr>
        <w:pStyle w:val="null3"/>
        <w:spacing w:before="120" w:after="120"/>
        <w:jc w:val="center"/>
      </w:pPr>
      <w:r>
        <w:rPr>
          <w:sz w:val="21"/>
        </w:rPr>
        <w:t>图</w:t>
      </w:r>
      <w:r>
        <w:rPr>
          <w:sz w:val="21"/>
        </w:rPr>
        <w:t xml:space="preserve">3.1-1 </w:t>
      </w:r>
      <w:r>
        <w:rPr>
          <w:sz w:val="21"/>
        </w:rPr>
        <w:t>总体</w:t>
      </w:r>
      <w:r>
        <w:rPr>
          <w:sz w:val="21"/>
        </w:rPr>
        <w:t>系统架构图</w:t>
      </w:r>
    </w:p>
    <w:p>
      <w:pPr>
        <w:pStyle w:val="null3"/>
        <w:spacing w:before="120" w:after="120"/>
        <w:jc w:val="center"/>
      </w:pPr>
      <w:r>
        <w:drawing>
          <wp:inline distT="0" distR="0" distB="0" distL="0">
            <wp:extent cx="5274310" cy="4389358"/>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5274310" cy="4389358"/>
                    </a:xfrm>
                    <a:prstGeom prst="rect">
                      <a:avLst/>
                    </a:prstGeom>
                  </pic:spPr>
                </pic:pic>
              </a:graphicData>
            </a:graphic>
          </wp:inline>
        </w:drawing>
      </w:r>
    </w:p>
    <w:p>
      <w:pPr>
        <w:pStyle w:val="null3"/>
        <w:spacing w:before="120" w:after="120"/>
        <w:jc w:val="center"/>
      </w:pPr>
      <w:r>
        <w:rPr>
          <w:sz w:val="21"/>
        </w:rPr>
        <w:t>图</w:t>
      </w:r>
      <w:r>
        <w:rPr>
          <w:sz w:val="21"/>
        </w:rPr>
        <w:t>3.1-</w:t>
      </w:r>
      <w:r>
        <w:rPr>
          <w:sz w:val="21"/>
        </w:rPr>
        <w:t>2</w:t>
      </w:r>
      <w:r>
        <w:rPr>
          <w:sz w:val="21"/>
        </w:rPr>
        <w:t xml:space="preserve"> </w:t>
      </w:r>
      <w:r>
        <w:rPr>
          <w:sz w:val="21"/>
        </w:rPr>
        <w:t>系统</w:t>
      </w:r>
      <w:r>
        <w:rPr>
          <w:sz w:val="21"/>
        </w:rPr>
        <w:t>总体数据流向</w:t>
      </w:r>
      <w:r>
        <w:rPr>
          <w:sz w:val="21"/>
        </w:rPr>
        <w:t>图</w:t>
      </w:r>
    </w:p>
    <w:p>
      <w:pPr>
        <w:pStyle w:val="null3"/>
        <w:spacing w:before="120"/>
        <w:ind w:left="570"/>
        <w:jc w:val="both"/>
        <w:outlineLvl w:val="1"/>
      </w:pPr>
      <w:r>
        <w:rPr>
          <w:sz w:val="21"/>
          <w:b/>
        </w:rPr>
        <w:t>3.2.系统简述</w:t>
      </w:r>
    </w:p>
    <w:p>
      <w:pPr>
        <w:pStyle w:val="null3"/>
        <w:ind w:firstLine="420"/>
        <w:jc w:val="both"/>
      </w:pPr>
      <w:r>
        <w:rPr>
          <w:sz w:val="21"/>
        </w:rPr>
        <w:t>系统前端作为系统数据的采集点。主要设备包含高清反向卡口抓拍单元、电子警察抓拍单元、辅助照明设备、前端通信设备、前端控制管理设备、通信网络、电源和其他配套设备等等。系统前端应能实现机动车号牌自动识别、交通违法行为记录、交通流量统计、实时视频监控、数据存储、数据传输、自动校时、光线自适应、设备管理等功能。并能实现球型摄像机远程控制、手动违法抓拍等辅助功能。并通过网络传输系统实时向系统中心管理平台自动传输所有数据信息。系统前端采用高清检测抓拍摄像机对行驶通过监测区域内的车辆进行检测，通过前端管理主机自动识别出通过车辆的号牌；对车辆通过监测区域过程进行分析，自动抓拍交通违法行为，并自动记录机动车交通违法信息。系统前端采用高清高速球型抓拍摄像机对监控区域内的车辆进行实时视频监控，自动记录交通视频信息。并能通过系统中心管理平台对高清高速球型抓拍摄像机进行远程控制，人工手动抓拍交通违法行为，记录机动车交通违法信息。</w:t>
      </w:r>
    </w:p>
    <w:p>
      <w:pPr>
        <w:pStyle w:val="null3"/>
        <w:ind w:firstLine="420"/>
        <w:jc w:val="both"/>
      </w:pPr>
      <w:r>
        <w:rPr>
          <w:sz w:val="21"/>
        </w:rPr>
        <w:t>系统中心管理平台用作系统数据收集、处理、存储。主要设备包含中心管理服务器、对接服务器、流媒体服务器、数据交换服务器、磁盘阵列、交换机等等。系统中心管理平台应能实现预处理功能、视频实时监控功能、视频监控手动抓拍功能、数据存储功能、数据查询功能、网络安全功能、设备管理功能、用户管理功能等功能。</w:t>
      </w:r>
    </w:p>
    <w:p>
      <w:pPr>
        <w:pStyle w:val="null3"/>
        <w:spacing w:before="120"/>
        <w:ind w:left="570"/>
        <w:jc w:val="both"/>
        <w:outlineLvl w:val="1"/>
      </w:pPr>
      <w:r>
        <w:rPr>
          <w:sz w:val="21"/>
          <w:b/>
        </w:rPr>
        <w:t>3.3.建设内容</w:t>
      </w:r>
    </w:p>
    <w:p>
      <w:pPr>
        <w:pStyle w:val="null3"/>
        <w:ind w:left="705"/>
        <w:jc w:val="both"/>
        <w:outlineLvl w:val="2"/>
      </w:pPr>
      <w:r>
        <w:rPr>
          <w:sz w:val="21"/>
          <w:b/>
        </w:rPr>
        <w:t>3.3.1.</w:t>
      </w:r>
      <w:r>
        <w:rPr>
          <w:sz w:val="21"/>
          <w:b/>
        </w:rPr>
        <w:t>道路交通技术监控系统</w:t>
      </w:r>
      <w:r>
        <w:rPr>
          <w:sz w:val="21"/>
          <w:b/>
        </w:rPr>
        <w:t>前端建设</w:t>
      </w:r>
      <w:r>
        <w:rPr>
          <w:sz w:val="21"/>
          <w:b/>
        </w:rPr>
        <w:t>内容</w:t>
      </w:r>
    </w:p>
    <w:tbl>
      <w:tblPr>
        <w:tblW w:w="0" w:type="auto"/>
        <w:tblBorders>
          <w:top w:val="none" w:color="000000" w:sz="4"/>
          <w:left w:val="none" w:color="000000" w:sz="4"/>
          <w:bottom w:val="none" w:color="000000" w:sz="4"/>
          <w:right w:val="none" w:color="000000" w:sz="4"/>
          <w:insideH w:val="none"/>
          <w:insideV w:val="none"/>
        </w:tblBorders>
      </w:tblPr>
      <w:tblGrid>
        <w:gridCol w:w="533"/>
        <w:gridCol w:w="1740"/>
        <w:gridCol w:w="799"/>
        <w:gridCol w:w="799"/>
        <w:gridCol w:w="4013"/>
        <w:gridCol w:w="419"/>
      </w:tblGrid>
      <w:tr>
        <w:tc>
          <w:tcPr>
            <w:tcW w:type="dxa" w:w="533"/>
            <w:vMerge w:val="restart"/>
            <w:tcBorders>
              <w:top w:val="single" w:color="000000" w:sz="4"/>
              <w:left w:val="single" w:color="000000" w:sz="4"/>
              <w:bottom w:val="single" w:color="000000" w:sz="4"/>
              <w:right w:val="single" w:color="000000" w:sz="4"/>
            </w:tcBorders>
            <w:shd w:fill="92D050"/>
            <w:tcMar>
              <w:top w:type="dxa" w:w="0"/>
              <w:left w:type="dxa" w:w="105"/>
              <w:bottom w:type="dxa" w:w="0"/>
              <w:right w:type="dxa" w:w="105"/>
            </w:tcMar>
            <w:vAlign w:val="top"/>
          </w:tcPr>
          <w:p>
            <w:pPr>
              <w:pStyle w:val="null3"/>
              <w:jc w:val="center"/>
            </w:pPr>
            <w:r>
              <w:rPr>
                <w:sz w:val="21"/>
                <w:b/>
              </w:rPr>
              <w:t>序号</w:t>
            </w:r>
          </w:p>
        </w:tc>
        <w:tc>
          <w:tcPr>
            <w:tcW w:type="dxa" w:w="1740"/>
            <w:vMerge w:val="restart"/>
            <w:tcBorders>
              <w:top w:val="single" w:color="000000" w:sz="4"/>
              <w:left w:val="none" w:color="000000" w:sz="4"/>
              <w:bottom w:val="single" w:color="000000" w:sz="4"/>
              <w:right w:val="single" w:color="000000" w:sz="4"/>
            </w:tcBorders>
            <w:shd w:fill="92D050"/>
            <w:tcMar>
              <w:top w:type="dxa" w:w="0"/>
              <w:left w:type="dxa" w:w="105"/>
              <w:bottom w:type="dxa" w:w="0"/>
              <w:right w:type="dxa" w:w="105"/>
            </w:tcMar>
            <w:vAlign w:val="top"/>
          </w:tcPr>
          <w:p>
            <w:pPr>
              <w:pStyle w:val="null3"/>
              <w:jc w:val="center"/>
            </w:pPr>
            <w:r>
              <w:rPr>
                <w:sz w:val="21"/>
                <w:b/>
              </w:rPr>
              <w:t>建设系统类型</w:t>
            </w:r>
          </w:p>
        </w:tc>
        <w:tc>
          <w:tcPr>
            <w:tcW w:type="dxa" w:w="5611"/>
            <w:gridSpan w:val="3"/>
            <w:tcBorders>
              <w:top w:val="single" w:color="000000" w:sz="4"/>
              <w:left w:val="none" w:color="000000" w:sz="4"/>
              <w:bottom w:val="single" w:color="000000" w:sz="4"/>
              <w:right w:val="single" w:color="000000" w:sz="4"/>
            </w:tcBorders>
            <w:shd w:fill="92D050"/>
            <w:tcMar>
              <w:top w:type="dxa" w:w="0"/>
              <w:left w:type="dxa" w:w="105"/>
              <w:bottom w:type="dxa" w:w="0"/>
              <w:right w:type="dxa" w:w="105"/>
            </w:tcMar>
            <w:vAlign w:val="top"/>
          </w:tcPr>
          <w:p>
            <w:pPr>
              <w:pStyle w:val="null3"/>
              <w:jc w:val="center"/>
            </w:pPr>
            <w:r>
              <w:rPr>
                <w:sz w:val="21"/>
                <w:b/>
              </w:rPr>
              <w:t>建设情况</w:t>
            </w:r>
          </w:p>
        </w:tc>
        <w:tc>
          <w:tcPr>
            <w:tcW w:type="dxa" w:w="419"/>
            <w:vMerge w:val="restart"/>
            <w:tcBorders>
              <w:top w:val="single" w:color="000000" w:sz="4"/>
              <w:left w:val="none" w:color="000000" w:sz="4"/>
              <w:bottom w:val="single" w:color="000000" w:sz="4"/>
              <w:right w:val="single" w:color="000000" w:sz="4"/>
            </w:tcBorders>
            <w:shd w:fill="92D050"/>
            <w:tcMar>
              <w:top w:type="dxa" w:w="0"/>
              <w:left w:type="dxa" w:w="105"/>
              <w:bottom w:type="dxa" w:w="0"/>
              <w:right w:type="dxa" w:w="105"/>
            </w:tcMar>
            <w:vAlign w:val="top"/>
          </w:tcPr>
          <w:p>
            <w:pPr>
              <w:pStyle w:val="null3"/>
              <w:jc w:val="center"/>
            </w:pPr>
            <w:r>
              <w:rPr>
                <w:sz w:val="21"/>
                <w:b/>
              </w:rPr>
              <w:t>备注</w:t>
            </w:r>
          </w:p>
        </w:tc>
      </w:tr>
      <w:tr>
        <w:tc>
          <w:tcPr>
            <w:tcW w:type="dxa" w:w="533"/>
            <w:vMerge/>
            <w:tcBorders>
              <w:top w:val="single" w:color="000000" w:sz="4"/>
              <w:left w:val="single" w:color="000000" w:sz="4"/>
              <w:bottom w:val="single" w:color="000000" w:sz="4"/>
              <w:right w:val="single" w:color="000000" w:sz="4"/>
            </w:tcBorders>
          </w:tcPr>
          <w:p/>
        </w:tc>
        <w:tc>
          <w:tcPr>
            <w:tcW w:type="dxa" w:w="1740"/>
            <w:vMerge/>
            <w:tcBorders>
              <w:top w:val="single" w:color="000000" w:sz="4"/>
              <w:left w:val="none" w:color="000000" w:sz="4"/>
              <w:bottom w:val="single" w:color="000000" w:sz="4"/>
              <w:right w:val="single" w:color="000000" w:sz="4"/>
            </w:tcBorders>
          </w:tcPr>
          <w:p/>
        </w:tc>
        <w:tc>
          <w:tcPr>
            <w:tcW w:type="dxa" w:w="799"/>
            <w:tcBorders>
              <w:top w:val="none" w:color="000000" w:sz="4"/>
              <w:left w:val="none" w:color="000000" w:sz="4"/>
              <w:bottom w:val="single" w:color="000000" w:sz="4"/>
              <w:right w:val="single" w:color="000000" w:sz="4"/>
            </w:tcBorders>
            <w:shd w:fill="92D050"/>
            <w:tcMar>
              <w:top w:type="dxa" w:w="0"/>
              <w:left w:type="dxa" w:w="105"/>
              <w:bottom w:type="dxa" w:w="0"/>
              <w:right w:type="dxa" w:w="105"/>
            </w:tcMar>
            <w:vAlign w:val="top"/>
          </w:tcPr>
          <w:p>
            <w:pPr>
              <w:pStyle w:val="null3"/>
              <w:jc w:val="center"/>
            </w:pPr>
            <w:r>
              <w:rPr>
                <w:sz w:val="21"/>
                <w:b/>
              </w:rPr>
              <w:t>抓拍方向</w:t>
            </w:r>
          </w:p>
        </w:tc>
        <w:tc>
          <w:tcPr>
            <w:tcW w:type="dxa" w:w="799"/>
            <w:tcBorders>
              <w:top w:val="none" w:color="000000" w:sz="4"/>
              <w:left w:val="none" w:color="000000" w:sz="4"/>
              <w:bottom w:val="single" w:color="000000" w:sz="4"/>
              <w:right w:val="single" w:color="000000" w:sz="4"/>
            </w:tcBorders>
            <w:shd w:fill="92D050"/>
            <w:tcMar>
              <w:top w:type="dxa" w:w="0"/>
              <w:left w:type="dxa" w:w="105"/>
              <w:bottom w:type="dxa" w:w="0"/>
              <w:right w:type="dxa" w:w="105"/>
            </w:tcMar>
            <w:vAlign w:val="top"/>
          </w:tcPr>
          <w:p>
            <w:pPr>
              <w:pStyle w:val="null3"/>
              <w:jc w:val="center"/>
            </w:pPr>
            <w:r>
              <w:rPr>
                <w:sz w:val="21"/>
                <w:b/>
              </w:rPr>
              <w:t>抓拍车道数</w:t>
            </w:r>
          </w:p>
        </w:tc>
        <w:tc>
          <w:tcPr>
            <w:tcW w:type="dxa" w:w="4013"/>
            <w:tcBorders>
              <w:top w:val="none" w:color="000000" w:sz="4"/>
              <w:left w:val="none" w:color="000000" w:sz="4"/>
              <w:bottom w:val="single" w:color="000000" w:sz="4"/>
              <w:right w:val="single" w:color="000000" w:sz="4"/>
            </w:tcBorders>
            <w:shd w:fill="92D050"/>
            <w:tcMar>
              <w:top w:type="dxa" w:w="0"/>
              <w:left w:type="dxa" w:w="105"/>
              <w:bottom w:type="dxa" w:w="0"/>
              <w:right w:type="dxa" w:w="105"/>
            </w:tcMar>
            <w:vAlign w:val="top"/>
          </w:tcPr>
          <w:p>
            <w:pPr>
              <w:pStyle w:val="null3"/>
              <w:jc w:val="center"/>
            </w:pPr>
            <w:r>
              <w:rPr>
                <w:sz w:val="21"/>
                <w:b/>
              </w:rPr>
              <w:t>设备情况</w:t>
            </w:r>
          </w:p>
        </w:tc>
        <w:tc>
          <w:tcPr>
            <w:tcW w:type="dxa" w:w="419"/>
            <w:vMerge/>
            <w:tcBorders>
              <w:top w:val="single" w:color="000000" w:sz="4"/>
              <w:left w:val="none" w:color="000000" w:sz="4"/>
              <w:bottom w:val="single" w:color="000000" w:sz="4"/>
              <w:right w:val="single" w:color="000000" w:sz="4"/>
            </w:tcBorders>
          </w:tcPr>
          <w:p/>
        </w:tc>
      </w:tr>
      <w:tr>
        <w:tc>
          <w:tcPr>
            <w:tcW w:type="dxa" w:w="8303"/>
            <w:gridSpan w:val="6"/>
            <w:tcBorders>
              <w:top w:val="none" w:color="000000" w:sz="4"/>
              <w:left w:val="single" w:color="000000" w:sz="4"/>
              <w:bottom w:val="single" w:color="000000" w:sz="4"/>
              <w:right w:val="single" w:color="000000" w:sz="4"/>
            </w:tcBorders>
            <w:shd w:fill="00B0F0"/>
            <w:tcMar>
              <w:top w:type="dxa" w:w="0"/>
              <w:left w:type="dxa" w:w="105"/>
              <w:bottom w:type="dxa" w:w="0"/>
              <w:right w:type="dxa" w:w="105"/>
            </w:tcMar>
            <w:vAlign w:val="top"/>
          </w:tcPr>
          <w:p>
            <w:pPr>
              <w:pStyle w:val="null3"/>
              <w:jc w:val="both"/>
            </w:pPr>
            <w:r>
              <w:rPr>
                <w:sz w:val="21"/>
                <w:b/>
              </w:rPr>
              <w:t>一、闯红灯</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民众大道中民众中学门口</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新增交通违法行为电子警察抓拍系统（含视频监控手动违法抓拍取证辅助功能）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北往南</w:t>
            </w: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w:t>
            </w:r>
            <w:r>
              <w:rPr>
                <w:sz w:val="21"/>
              </w:rPr>
              <w:t>、反向新增</w:t>
            </w:r>
            <w:r>
              <w:rPr>
                <w:sz w:val="21"/>
              </w:rPr>
              <w:t>2</w:t>
            </w:r>
            <w:r>
              <w:rPr>
                <w:sz w:val="21"/>
              </w:rPr>
              <w:t>台</w:t>
            </w:r>
            <w:r>
              <w:rPr>
                <w:sz w:val="21"/>
              </w:rPr>
              <w:t>900万像素反向卡口摄像机实现车辆检测及车辆违法自动抓拍。</w:t>
            </w:r>
          </w:p>
          <w:p>
            <w:pPr>
              <w:pStyle w:val="null3"/>
              <w:jc w:val="both"/>
            </w:pPr>
            <w:r>
              <w:rPr>
                <w:sz w:val="21"/>
              </w:rPr>
              <w:t>2、全景采用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3</w:t>
            </w:r>
            <w:r>
              <w:rPr>
                <w:sz w:val="21"/>
              </w:rPr>
              <w:t>、配套辅助照明设备、交换机、监控杆件（新增杆体）、线缆、监控提示标志等。</w:t>
            </w:r>
          </w:p>
          <w:p>
            <w:pPr>
              <w:pStyle w:val="null3"/>
              <w:jc w:val="both"/>
            </w:pPr>
            <w:r>
              <w:rPr>
                <w:sz w:val="21"/>
              </w:rPr>
              <w:t>4</w:t>
            </w:r>
            <w:r>
              <w:rPr>
                <w:sz w:val="21"/>
              </w:rPr>
              <w:t>、结合前端监控设备情况统一配套前端管理主机。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新增交通违法行为电子警察抓拍系统（含视频监控手动违法抓拍取证辅助功能）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南往北</w:t>
            </w: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w:t>
            </w:r>
            <w:r>
              <w:rPr>
                <w:sz w:val="21"/>
              </w:rPr>
              <w:t>、反向新增</w:t>
            </w:r>
            <w:r>
              <w:rPr>
                <w:sz w:val="21"/>
              </w:rPr>
              <w:t>2</w:t>
            </w:r>
            <w:r>
              <w:rPr>
                <w:sz w:val="21"/>
              </w:rPr>
              <w:t>台</w:t>
            </w:r>
            <w:r>
              <w:rPr>
                <w:sz w:val="21"/>
              </w:rPr>
              <w:t>900万像素反向卡口摄像机实现车辆检测及车辆违法自动抓拍。</w:t>
            </w:r>
          </w:p>
          <w:p>
            <w:pPr>
              <w:pStyle w:val="null3"/>
              <w:jc w:val="both"/>
            </w:pPr>
            <w:r>
              <w:rPr>
                <w:sz w:val="21"/>
              </w:rPr>
              <w:t>2、全景采用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3</w:t>
            </w:r>
            <w:r>
              <w:rPr>
                <w:sz w:val="21"/>
              </w:rPr>
              <w:t>、配套辅助照明设备、交换机、监控杆件（新增杆体）、线缆、监控提示标志等。</w:t>
            </w:r>
          </w:p>
          <w:p>
            <w:pPr>
              <w:pStyle w:val="null3"/>
              <w:jc w:val="both"/>
            </w:pPr>
            <w:r>
              <w:rPr>
                <w:sz w:val="21"/>
              </w:rPr>
              <w:t>4</w:t>
            </w:r>
            <w:r>
              <w:rPr>
                <w:sz w:val="21"/>
              </w:rPr>
              <w:t>、结合前端监控设备情况统一配套前端管理主机。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六百六路与民众大道中交界路口</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新增交通违法行为电子警察抓拍系统（含视频监控手动违法抓拍取证辅助功能）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南往北</w:t>
            </w: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w:t>
            </w:r>
            <w:r>
              <w:rPr>
                <w:sz w:val="21"/>
              </w:rPr>
              <w:t>、反向新增</w:t>
            </w:r>
            <w:r>
              <w:rPr>
                <w:sz w:val="21"/>
              </w:rPr>
              <w:t>3</w:t>
            </w:r>
            <w:r>
              <w:rPr>
                <w:sz w:val="21"/>
              </w:rPr>
              <w:t>台</w:t>
            </w:r>
            <w:r>
              <w:rPr>
                <w:sz w:val="21"/>
              </w:rPr>
              <w:t>900</w:t>
            </w:r>
            <w:r>
              <w:rPr>
                <w:sz w:val="21"/>
              </w:rPr>
              <w:t>万像素反向卡口摄像机；正向新增</w:t>
            </w:r>
            <w:r>
              <w:rPr>
                <w:sz w:val="21"/>
              </w:rPr>
              <w:t>1</w:t>
            </w:r>
            <w:r>
              <w:rPr>
                <w:sz w:val="21"/>
              </w:rPr>
              <w:t>台</w:t>
            </w:r>
            <w:r>
              <w:rPr>
                <w:sz w:val="21"/>
              </w:rPr>
              <w:t>900</w:t>
            </w:r>
            <w:r>
              <w:rPr>
                <w:sz w:val="21"/>
              </w:rPr>
              <w:t>万像素电子警察摄像机、</w:t>
            </w:r>
            <w:r>
              <w:rPr>
                <w:sz w:val="21"/>
              </w:rPr>
              <w:t>1</w:t>
            </w:r>
            <w:r>
              <w:rPr>
                <w:sz w:val="21"/>
              </w:rPr>
              <w:t>台</w:t>
            </w:r>
            <w:r>
              <w:rPr>
                <w:sz w:val="21"/>
              </w:rPr>
              <w:t>500</w:t>
            </w:r>
            <w:r>
              <w:rPr>
                <w:sz w:val="21"/>
              </w:rPr>
              <w:t>万像素电子警察摄像机；实现车辆检测及车辆违法自动抓拍</w:t>
            </w:r>
            <w:r>
              <w:rPr>
                <w:sz w:val="21"/>
              </w:rPr>
              <w:t>。</w:t>
            </w:r>
          </w:p>
          <w:p>
            <w:pPr>
              <w:pStyle w:val="null3"/>
              <w:jc w:val="both"/>
            </w:pPr>
            <w:r>
              <w:rPr>
                <w:sz w:val="21"/>
              </w:rPr>
              <w:t>2</w:t>
            </w:r>
            <w:r>
              <w:rPr>
                <w:sz w:val="21"/>
              </w:rPr>
              <w:t>、全景采用</w:t>
            </w:r>
            <w:r>
              <w:rPr>
                <w:sz w:val="21"/>
              </w:rPr>
              <w:t>1</w:t>
            </w:r>
            <w:r>
              <w:rPr>
                <w:sz w:val="21"/>
              </w:rPr>
              <w:t>台枪球一体机实现实时视频监控及视频监控自动</w:t>
            </w:r>
            <w:r>
              <w:rPr>
                <w:sz w:val="21"/>
              </w:rPr>
              <w:t>/</w:t>
            </w:r>
            <w:r>
              <w:rPr>
                <w:sz w:val="21"/>
              </w:rPr>
              <w:t>手动违法抓拍。</w:t>
            </w:r>
          </w:p>
          <w:p>
            <w:pPr>
              <w:pStyle w:val="null3"/>
              <w:jc w:val="both"/>
            </w:pPr>
            <w:r>
              <w:rPr>
                <w:sz w:val="21"/>
              </w:rPr>
              <w:t>3</w:t>
            </w:r>
            <w:r>
              <w:rPr>
                <w:sz w:val="21"/>
              </w:rPr>
              <w:t>、配套辅助照明设备、交换机、监控杆件（新增杆体）、线缆、监控提示标志等。</w:t>
            </w:r>
          </w:p>
          <w:p>
            <w:pPr>
              <w:pStyle w:val="null3"/>
              <w:jc w:val="both"/>
            </w:pPr>
            <w:r>
              <w:rPr>
                <w:sz w:val="21"/>
              </w:rPr>
              <w:t>4</w:t>
            </w:r>
            <w:r>
              <w:rPr>
                <w:sz w:val="21"/>
              </w:rPr>
              <w:t>、结合前端监控设备情况统一配套前端管理主机。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新增交通违法行为电子警察抓拍系统（含视频监控手动违法抓拍取证辅助功能）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北往南</w:t>
            </w: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w:t>
            </w:r>
            <w:r>
              <w:rPr>
                <w:sz w:val="21"/>
              </w:rPr>
              <w:t>、反向新增</w:t>
            </w:r>
            <w:r>
              <w:rPr>
                <w:sz w:val="21"/>
              </w:rPr>
              <w:t>3</w:t>
            </w:r>
            <w:r>
              <w:rPr>
                <w:sz w:val="21"/>
              </w:rPr>
              <w:t>台</w:t>
            </w:r>
            <w:r>
              <w:rPr>
                <w:sz w:val="21"/>
              </w:rPr>
              <w:t>900</w:t>
            </w:r>
            <w:r>
              <w:rPr>
                <w:sz w:val="21"/>
              </w:rPr>
              <w:t>万像素反向卡口摄像机；正向新增</w:t>
            </w:r>
            <w:r>
              <w:rPr>
                <w:sz w:val="21"/>
              </w:rPr>
              <w:t>1</w:t>
            </w:r>
            <w:r>
              <w:rPr>
                <w:sz w:val="21"/>
              </w:rPr>
              <w:t>台</w:t>
            </w:r>
            <w:r>
              <w:rPr>
                <w:sz w:val="21"/>
              </w:rPr>
              <w:t>900</w:t>
            </w:r>
            <w:r>
              <w:rPr>
                <w:sz w:val="21"/>
              </w:rPr>
              <w:t>万像素电子警察摄像机、</w:t>
            </w:r>
            <w:r>
              <w:rPr>
                <w:sz w:val="21"/>
              </w:rPr>
              <w:t>1</w:t>
            </w:r>
            <w:r>
              <w:rPr>
                <w:sz w:val="21"/>
              </w:rPr>
              <w:t>台</w:t>
            </w:r>
            <w:r>
              <w:rPr>
                <w:sz w:val="21"/>
              </w:rPr>
              <w:t>500</w:t>
            </w:r>
            <w:r>
              <w:rPr>
                <w:sz w:val="21"/>
              </w:rPr>
              <w:t>万像素电子警察摄像机；实现车辆检测及车辆违法自动抓拍</w:t>
            </w:r>
            <w:r>
              <w:rPr>
                <w:sz w:val="21"/>
              </w:rPr>
              <w:t>。</w:t>
            </w:r>
          </w:p>
          <w:p>
            <w:pPr>
              <w:pStyle w:val="null3"/>
              <w:jc w:val="both"/>
            </w:pPr>
            <w:r>
              <w:rPr>
                <w:sz w:val="21"/>
              </w:rPr>
              <w:t>2</w:t>
            </w:r>
            <w:r>
              <w:rPr>
                <w:sz w:val="21"/>
              </w:rPr>
              <w:t>、全景采用</w:t>
            </w:r>
            <w:r>
              <w:rPr>
                <w:sz w:val="21"/>
              </w:rPr>
              <w:t>1</w:t>
            </w:r>
            <w:r>
              <w:rPr>
                <w:sz w:val="21"/>
              </w:rPr>
              <w:t>台枪球一体机实现实时视频监控及视频监控自动</w:t>
            </w:r>
            <w:r>
              <w:rPr>
                <w:sz w:val="21"/>
              </w:rPr>
              <w:t>/</w:t>
            </w:r>
            <w:r>
              <w:rPr>
                <w:sz w:val="21"/>
              </w:rPr>
              <w:t>手动违法抓拍。</w:t>
            </w:r>
          </w:p>
          <w:p>
            <w:pPr>
              <w:pStyle w:val="null3"/>
              <w:jc w:val="both"/>
            </w:pPr>
            <w:r>
              <w:rPr>
                <w:sz w:val="21"/>
              </w:rPr>
              <w:t>3</w:t>
            </w:r>
            <w:r>
              <w:rPr>
                <w:sz w:val="21"/>
              </w:rPr>
              <w:t>、配套辅助照明设备、交换机、监控杆件（新增杆体）、线缆、监控提示标志等。</w:t>
            </w:r>
          </w:p>
          <w:p>
            <w:pPr>
              <w:pStyle w:val="null3"/>
              <w:jc w:val="both"/>
            </w:pPr>
            <w:r>
              <w:rPr>
                <w:sz w:val="21"/>
              </w:rPr>
              <w:t>4</w:t>
            </w:r>
            <w:r>
              <w:rPr>
                <w:sz w:val="21"/>
              </w:rPr>
              <w:t>、结合前端监控设备情况统一配套前端管理主机。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新增交通违法行为电子警察抓拍系统（含视频监控手动违法抓拍取证辅助功能）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东往西</w:t>
            </w: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w:t>
            </w:r>
            <w:r>
              <w:rPr>
                <w:sz w:val="21"/>
              </w:rPr>
              <w:t>、反向新增</w:t>
            </w:r>
            <w:r>
              <w:rPr>
                <w:sz w:val="21"/>
              </w:rPr>
              <w:t>2</w:t>
            </w:r>
            <w:r>
              <w:rPr>
                <w:sz w:val="21"/>
              </w:rPr>
              <w:t>台</w:t>
            </w:r>
            <w:r>
              <w:rPr>
                <w:sz w:val="21"/>
              </w:rPr>
              <w:t>900</w:t>
            </w:r>
            <w:r>
              <w:rPr>
                <w:sz w:val="21"/>
              </w:rPr>
              <w:t>万像素反向卡口摄像机；正向新增</w:t>
            </w:r>
            <w:r>
              <w:rPr>
                <w:sz w:val="21"/>
              </w:rPr>
              <w:t>1</w:t>
            </w:r>
            <w:r>
              <w:rPr>
                <w:sz w:val="21"/>
              </w:rPr>
              <w:t>台</w:t>
            </w:r>
            <w:r>
              <w:rPr>
                <w:sz w:val="21"/>
              </w:rPr>
              <w:t>900</w:t>
            </w:r>
            <w:r>
              <w:rPr>
                <w:sz w:val="21"/>
              </w:rPr>
              <w:t>万像素电子警察摄像机；实现车辆检测及车辆违法自动抓拍</w:t>
            </w:r>
            <w:r>
              <w:rPr>
                <w:sz w:val="21"/>
              </w:rPr>
              <w:t>。</w:t>
            </w:r>
          </w:p>
          <w:p>
            <w:pPr>
              <w:pStyle w:val="null3"/>
              <w:jc w:val="both"/>
            </w:pPr>
            <w:r>
              <w:rPr>
                <w:sz w:val="21"/>
              </w:rPr>
              <w:t>2</w:t>
            </w:r>
            <w:r>
              <w:rPr>
                <w:sz w:val="21"/>
              </w:rPr>
              <w:t>、全景采用</w:t>
            </w:r>
            <w:r>
              <w:rPr>
                <w:sz w:val="21"/>
              </w:rPr>
              <w:t>1</w:t>
            </w:r>
            <w:r>
              <w:rPr>
                <w:sz w:val="21"/>
              </w:rPr>
              <w:t>台枪球一体机实现实时视频监控及视频监控自动</w:t>
            </w:r>
            <w:r>
              <w:rPr>
                <w:sz w:val="21"/>
              </w:rPr>
              <w:t>/</w:t>
            </w:r>
            <w:r>
              <w:rPr>
                <w:sz w:val="21"/>
              </w:rPr>
              <w:t>手动违法抓拍。</w:t>
            </w:r>
          </w:p>
          <w:p>
            <w:pPr>
              <w:pStyle w:val="null3"/>
              <w:jc w:val="both"/>
            </w:pPr>
            <w:r>
              <w:rPr>
                <w:sz w:val="21"/>
              </w:rPr>
              <w:t>3</w:t>
            </w:r>
            <w:r>
              <w:rPr>
                <w:sz w:val="21"/>
              </w:rPr>
              <w:t>、配套辅助照明设备、交换机、监控杆件（新增杆体）、线缆、监控提示标志等。</w:t>
            </w:r>
          </w:p>
          <w:p>
            <w:pPr>
              <w:pStyle w:val="null3"/>
              <w:jc w:val="both"/>
            </w:pPr>
            <w:r>
              <w:rPr>
                <w:sz w:val="21"/>
              </w:rPr>
              <w:t>4</w:t>
            </w:r>
            <w:r>
              <w:rPr>
                <w:sz w:val="21"/>
              </w:rPr>
              <w:t>、结合前端监控设备情况统一配套前端管理主机。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新增交通违法行为电子警察抓拍系统（含视频监控手动违法抓拍取证辅助功能）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西往东</w:t>
            </w: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w:t>
            </w:r>
            <w:r>
              <w:rPr>
                <w:sz w:val="21"/>
              </w:rPr>
              <w:t>、反向新增</w:t>
            </w:r>
            <w:r>
              <w:rPr>
                <w:sz w:val="21"/>
              </w:rPr>
              <w:t>2</w:t>
            </w:r>
            <w:r>
              <w:rPr>
                <w:sz w:val="21"/>
              </w:rPr>
              <w:t>台</w:t>
            </w:r>
            <w:r>
              <w:rPr>
                <w:sz w:val="21"/>
              </w:rPr>
              <w:t>900</w:t>
            </w:r>
            <w:r>
              <w:rPr>
                <w:sz w:val="21"/>
              </w:rPr>
              <w:t>万像素反向卡口摄像机；正向新增</w:t>
            </w:r>
            <w:r>
              <w:rPr>
                <w:sz w:val="21"/>
              </w:rPr>
              <w:t>1</w:t>
            </w:r>
            <w:r>
              <w:rPr>
                <w:sz w:val="21"/>
              </w:rPr>
              <w:t>台</w:t>
            </w:r>
            <w:r>
              <w:rPr>
                <w:sz w:val="21"/>
              </w:rPr>
              <w:t>900</w:t>
            </w:r>
            <w:r>
              <w:rPr>
                <w:sz w:val="21"/>
              </w:rPr>
              <w:t>万像素电子警察摄像机；实现车辆检测及车辆违法自动抓拍</w:t>
            </w:r>
            <w:r>
              <w:rPr>
                <w:sz w:val="21"/>
              </w:rPr>
              <w:t>。</w:t>
            </w:r>
          </w:p>
          <w:p>
            <w:pPr>
              <w:pStyle w:val="null3"/>
              <w:jc w:val="both"/>
            </w:pPr>
            <w:r>
              <w:rPr>
                <w:sz w:val="21"/>
              </w:rPr>
              <w:t>2</w:t>
            </w:r>
            <w:r>
              <w:rPr>
                <w:sz w:val="21"/>
              </w:rPr>
              <w:t>、全景采用</w:t>
            </w:r>
            <w:r>
              <w:rPr>
                <w:sz w:val="21"/>
              </w:rPr>
              <w:t>1</w:t>
            </w:r>
            <w:r>
              <w:rPr>
                <w:sz w:val="21"/>
              </w:rPr>
              <w:t>台枪球一体机实现实时视频监控及视频监控自动</w:t>
            </w:r>
            <w:r>
              <w:rPr>
                <w:sz w:val="21"/>
              </w:rPr>
              <w:t>/</w:t>
            </w:r>
            <w:r>
              <w:rPr>
                <w:sz w:val="21"/>
              </w:rPr>
              <w:t>手动违法抓拍。</w:t>
            </w:r>
          </w:p>
          <w:p>
            <w:pPr>
              <w:pStyle w:val="null3"/>
              <w:jc w:val="both"/>
            </w:pPr>
            <w:r>
              <w:rPr>
                <w:sz w:val="21"/>
              </w:rPr>
              <w:t>3</w:t>
            </w:r>
            <w:r>
              <w:rPr>
                <w:sz w:val="21"/>
              </w:rPr>
              <w:t>、配套辅助照明设备、交换机、监控杆件（新增杆体）、线缆、监控提示标志等。</w:t>
            </w:r>
          </w:p>
          <w:p>
            <w:pPr>
              <w:pStyle w:val="null3"/>
              <w:jc w:val="both"/>
            </w:pPr>
            <w:r>
              <w:rPr>
                <w:sz w:val="21"/>
              </w:rPr>
              <w:t>4</w:t>
            </w:r>
            <w:r>
              <w:rPr>
                <w:sz w:val="21"/>
              </w:rPr>
              <w:t>、结合前端监控设备情况统一配套前端管理主机。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00B0F0"/>
            <w:tcMar>
              <w:top w:type="dxa" w:w="0"/>
              <w:left w:type="dxa" w:w="105"/>
              <w:bottom w:type="dxa" w:w="0"/>
              <w:right w:type="dxa" w:w="105"/>
            </w:tcMar>
            <w:vAlign w:val="top"/>
          </w:tcPr>
          <w:p>
            <w:pPr>
              <w:pStyle w:val="null3"/>
              <w:jc w:val="both"/>
            </w:pPr>
            <w:r>
              <w:rPr>
                <w:sz w:val="21"/>
                <w:b/>
                <w:color w:val="0000FF"/>
                <w:u w:val="single"/>
              </w:rPr>
              <w:t>二</w:t>
            </w:r>
            <w:r>
              <w:rPr>
                <w:sz w:val="21"/>
                <w:b/>
              </w:rPr>
              <w:t>、测速</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横二线中段</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新增交通违法行为电子警察抓拍系统（含视频监控手动违法抓拍取证辅助功能）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东往西</w:t>
            </w: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w:t>
            </w:r>
            <w:r>
              <w:rPr>
                <w:sz w:val="21"/>
              </w:rPr>
              <w:t>、反向新增</w:t>
            </w:r>
            <w:r>
              <w:rPr>
                <w:sz w:val="21"/>
              </w:rPr>
              <w:t>1</w:t>
            </w:r>
            <w:r>
              <w:rPr>
                <w:sz w:val="21"/>
              </w:rPr>
              <w:t>台</w:t>
            </w:r>
            <w:r>
              <w:rPr>
                <w:sz w:val="21"/>
              </w:rPr>
              <w:t>900万像素反向卡口摄像机、2台测速雷达设备实现车辆检测及车辆违法自动前抓拍。</w:t>
            </w:r>
          </w:p>
          <w:p>
            <w:pPr>
              <w:pStyle w:val="null3"/>
              <w:jc w:val="both"/>
            </w:pPr>
            <w:r>
              <w:rPr>
                <w:sz w:val="21"/>
              </w:rPr>
              <w:t>3</w:t>
            </w:r>
            <w:r>
              <w:rPr>
                <w:sz w:val="21"/>
              </w:rPr>
              <w:t>、全景采用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4</w:t>
            </w:r>
            <w:r>
              <w:rPr>
                <w:sz w:val="21"/>
              </w:rPr>
              <w:t>、配套辅助照明设备、交换机、监控杆件（新增杆体）、线缆、监控提示标志等。</w:t>
            </w:r>
          </w:p>
          <w:p>
            <w:pPr>
              <w:pStyle w:val="null3"/>
              <w:jc w:val="both"/>
            </w:pPr>
            <w:r>
              <w:rPr>
                <w:sz w:val="21"/>
              </w:rPr>
              <w:t>5</w:t>
            </w:r>
            <w:r>
              <w:rPr>
                <w:sz w:val="21"/>
              </w:rPr>
              <w:t>、结合前端监控设备情况统一配套前端管理主机。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新增交通违法行为电子警察抓拍系统（含视频监控手动违法抓拍取证辅助功能）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西往东</w:t>
            </w: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w:t>
            </w:r>
            <w:r>
              <w:rPr>
                <w:sz w:val="21"/>
              </w:rPr>
              <w:t>、反向新增</w:t>
            </w:r>
            <w:r>
              <w:rPr>
                <w:sz w:val="21"/>
              </w:rPr>
              <w:t>1</w:t>
            </w:r>
            <w:r>
              <w:rPr>
                <w:sz w:val="21"/>
              </w:rPr>
              <w:t>台</w:t>
            </w:r>
            <w:r>
              <w:rPr>
                <w:sz w:val="21"/>
              </w:rPr>
              <w:t>900万像素反向卡口摄像机、2台测速雷达设备实现车辆检测及车辆违法自动前抓拍。</w:t>
            </w:r>
          </w:p>
          <w:p>
            <w:pPr>
              <w:pStyle w:val="null3"/>
              <w:jc w:val="both"/>
            </w:pPr>
            <w:r>
              <w:rPr>
                <w:sz w:val="21"/>
              </w:rPr>
              <w:t>3</w:t>
            </w:r>
            <w:r>
              <w:rPr>
                <w:sz w:val="21"/>
              </w:rPr>
              <w:t>、全景采用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4</w:t>
            </w:r>
            <w:r>
              <w:rPr>
                <w:sz w:val="21"/>
              </w:rPr>
              <w:t>、配套辅助照明设备、交换机、监控杆件（新增杆体）、线缆、监控提示标志等。</w:t>
            </w:r>
          </w:p>
          <w:p>
            <w:pPr>
              <w:pStyle w:val="null3"/>
              <w:jc w:val="both"/>
            </w:pPr>
            <w:r>
              <w:rPr>
                <w:sz w:val="21"/>
              </w:rPr>
              <w:t>5</w:t>
            </w:r>
            <w:r>
              <w:rPr>
                <w:sz w:val="21"/>
              </w:rPr>
              <w:t>、结合前端监控设备情况统一配套前端管理主机。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g228国道多宝路段</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4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新增交通违法行为电子警察抓拍系统（含视频监控手动违法抓拍取证辅助功能）</w:t>
            </w:r>
          </w:p>
        </w:tc>
        <w:tc>
          <w:tcPr>
            <w:tcW w:type="dxa" w:w="79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南往北</w:t>
            </w:r>
            <w:r>
              <w:rPr>
                <w:sz w:val="21"/>
              </w:rPr>
              <w:t>/全景</w:t>
            </w:r>
          </w:p>
        </w:tc>
        <w:tc>
          <w:tcPr>
            <w:tcW w:type="dxa" w:w="79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4013"/>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w:t>
            </w:r>
            <w:r>
              <w:rPr>
                <w:sz w:val="21"/>
              </w:rPr>
              <w:t>、反向新增</w:t>
            </w:r>
            <w:r>
              <w:rPr>
                <w:sz w:val="21"/>
              </w:rPr>
              <w:t>2</w:t>
            </w:r>
            <w:r>
              <w:rPr>
                <w:sz w:val="21"/>
              </w:rPr>
              <w:t>台</w:t>
            </w:r>
            <w:r>
              <w:rPr>
                <w:sz w:val="21"/>
              </w:rPr>
              <w:t>900万像素反向卡口摄像机、</w:t>
            </w:r>
            <w:r>
              <w:rPr>
                <w:sz w:val="21"/>
              </w:rPr>
              <w:t>4</w:t>
            </w:r>
            <w:r>
              <w:rPr>
                <w:sz w:val="21"/>
              </w:rPr>
              <w:t>台测速雷达设备实现车辆检测及车辆违法自动前抓拍。</w:t>
            </w:r>
          </w:p>
          <w:p>
            <w:pPr>
              <w:pStyle w:val="null3"/>
              <w:jc w:val="both"/>
            </w:pPr>
            <w:r>
              <w:rPr>
                <w:sz w:val="21"/>
              </w:rPr>
              <w:t>3</w:t>
            </w:r>
            <w:r>
              <w:rPr>
                <w:sz w:val="21"/>
              </w:rPr>
              <w:t>、全景采用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4</w:t>
            </w:r>
            <w:r>
              <w:rPr>
                <w:sz w:val="21"/>
              </w:rPr>
              <w:t>、配套辅助照明设备、交换机、监控杆件（新增杆体）、线缆、监控提示标志等。</w:t>
            </w:r>
          </w:p>
          <w:p>
            <w:pPr>
              <w:pStyle w:val="null3"/>
              <w:jc w:val="both"/>
            </w:pPr>
            <w:r>
              <w:rPr>
                <w:sz w:val="21"/>
              </w:rPr>
              <w:t>5</w:t>
            </w:r>
            <w:r>
              <w:rPr>
                <w:sz w:val="21"/>
              </w:rPr>
              <w:t>、结合前端监控设备情况统一配套前端管理主机。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新增交通违法行为电子警察抓拍系统（含视频监控手动违法抓拍取证辅助功能）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北往南</w:t>
            </w: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w:t>
            </w:r>
            <w:r>
              <w:rPr>
                <w:sz w:val="21"/>
              </w:rPr>
              <w:t>、反向新增</w:t>
            </w:r>
            <w:r>
              <w:rPr>
                <w:sz w:val="21"/>
              </w:rPr>
              <w:t>2</w:t>
            </w:r>
            <w:r>
              <w:rPr>
                <w:sz w:val="21"/>
              </w:rPr>
              <w:t>台</w:t>
            </w:r>
            <w:r>
              <w:rPr>
                <w:sz w:val="21"/>
              </w:rPr>
              <w:t>900万像素反向卡口摄像机、</w:t>
            </w:r>
            <w:r>
              <w:rPr>
                <w:sz w:val="21"/>
              </w:rPr>
              <w:t>4</w:t>
            </w:r>
            <w:r>
              <w:rPr>
                <w:sz w:val="21"/>
              </w:rPr>
              <w:t>台测速雷达设备实现车辆检测及车辆违法自动前抓拍。</w:t>
            </w:r>
          </w:p>
          <w:p>
            <w:pPr>
              <w:pStyle w:val="null3"/>
              <w:jc w:val="both"/>
            </w:pPr>
            <w:r>
              <w:rPr>
                <w:sz w:val="21"/>
              </w:rPr>
              <w:t>3</w:t>
            </w:r>
            <w:r>
              <w:rPr>
                <w:sz w:val="21"/>
              </w:rPr>
              <w:t>、全景采用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4</w:t>
            </w:r>
            <w:r>
              <w:rPr>
                <w:sz w:val="21"/>
              </w:rPr>
              <w:t>、配套辅助照明设备、交换机、监控杆件（新增杆体）、线缆、监控提示标志等。</w:t>
            </w:r>
          </w:p>
          <w:p>
            <w:pPr>
              <w:pStyle w:val="null3"/>
              <w:jc w:val="both"/>
            </w:pPr>
            <w:r>
              <w:rPr>
                <w:sz w:val="21"/>
              </w:rPr>
              <w:t>5</w:t>
            </w:r>
            <w:r>
              <w:rPr>
                <w:sz w:val="21"/>
              </w:rPr>
              <w:t>、结合前端监控设备情况统一配套前端管理主机。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00B0F0"/>
            <w:tcMar>
              <w:top w:type="dxa" w:w="0"/>
              <w:left w:type="dxa" w:w="105"/>
              <w:bottom w:type="dxa" w:w="0"/>
              <w:right w:type="dxa" w:w="105"/>
            </w:tcMar>
            <w:vAlign w:val="top"/>
          </w:tcPr>
          <w:p>
            <w:pPr>
              <w:pStyle w:val="null3"/>
              <w:jc w:val="both"/>
            </w:pPr>
            <w:r>
              <w:rPr>
                <w:sz w:val="21"/>
                <w:b/>
              </w:rPr>
              <w:t>三、禁停逆行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1号路湾涌路口</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人民路浪网社区对开</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人民路</w:t>
            </w:r>
            <w:r>
              <w:rPr>
                <w:sz w:val="21"/>
                <w:b/>
              </w:rPr>
              <w:t>120号路边</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阳光大到浪网中学门口</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浪网大道正德路口</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5</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浪网大道浪网村委会路口</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新马路</w:t>
            </w:r>
            <w:r>
              <w:rPr>
                <w:sz w:val="21"/>
                <w:b/>
              </w:rPr>
              <w:t>1号民众医院门口</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宝泰路</w:t>
            </w:r>
            <w:r>
              <w:rPr>
                <w:sz w:val="21"/>
                <w:b/>
              </w:rPr>
              <w:t>8号对开</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8</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接源村</w:t>
            </w:r>
            <w:r>
              <w:rPr>
                <w:sz w:val="21"/>
                <w:b/>
              </w:rPr>
              <w:t>1号路彩信工业园南门</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w:t>
            </w:r>
          </w:p>
        </w:tc>
        <w:tc>
          <w:tcPr>
            <w:tcW w:type="dxa" w:w="174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中山比亚迪南门</w:t>
            </w:r>
            <w:r>
              <w:rPr>
                <w:sz w:val="21"/>
                <w:b/>
              </w:rPr>
              <w:t>1号点</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w:t>
            </w:r>
          </w:p>
        </w:tc>
        <w:tc>
          <w:tcPr>
            <w:tcW w:type="dxa" w:w="174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众安大道与福一路交界</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11</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民泰路中路段</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12</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w:t>
            </w:r>
            <w:r>
              <w:rPr>
                <w:sz w:val="21"/>
              </w:rPr>
              <w:t>1个方向的违法自动抓拍球系统（含视频监控辅助功能）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仁和路民泰路</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13</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r>
        <w:tc>
          <w:tcPr>
            <w:tcW w:type="dxa" w:w="8303"/>
            <w:gridSpan w:val="6"/>
            <w:tcBorders>
              <w:top w:val="none" w:color="000000" w:sz="4"/>
              <w:left w:val="single" w:color="000000" w:sz="4"/>
              <w:bottom w:val="single" w:color="000000" w:sz="4"/>
              <w:right w:val="single" w:color="000000" w:sz="4"/>
            </w:tcBorders>
            <w:shd w:fill="FFFF00"/>
            <w:tcMar>
              <w:top w:type="dxa" w:w="0"/>
              <w:left w:type="dxa" w:w="105"/>
              <w:bottom w:type="dxa" w:w="0"/>
              <w:right w:type="dxa" w:w="105"/>
            </w:tcMar>
            <w:vAlign w:val="top"/>
          </w:tcPr>
          <w:p>
            <w:pPr>
              <w:pStyle w:val="null3"/>
              <w:jc w:val="center"/>
            </w:pPr>
            <w:r>
              <w:rPr>
                <w:sz w:val="21"/>
                <w:b/>
              </w:rPr>
              <w:t>民安路</w:t>
            </w:r>
          </w:p>
        </w:tc>
      </w:tr>
      <w:tr>
        <w:tc>
          <w:tcPr>
            <w:tcW w:type="dxa" w:w="5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14</w:t>
            </w:r>
          </w:p>
        </w:tc>
        <w:tc>
          <w:tcPr>
            <w:tcW w:type="dxa" w:w="17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拟建违法自动抓拍球系统（含视频监控辅助功能）</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全景</w:t>
            </w:r>
          </w:p>
        </w:tc>
        <w:tc>
          <w:tcPr>
            <w:tcW w:type="dxa" w:w="79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w:t>
            </w:r>
          </w:p>
        </w:tc>
        <w:tc>
          <w:tcPr>
            <w:tcW w:type="dxa" w:w="401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1、全景采用</w:t>
            </w:r>
            <w:r>
              <w:rPr>
                <w:sz w:val="21"/>
              </w:rPr>
              <w:t>1</w:t>
            </w:r>
            <w:r>
              <w:rPr>
                <w:sz w:val="21"/>
              </w:rPr>
              <w:t>台一体化交通智能球型抓拍摄像机实现实时视频监控及视频监控自动</w:t>
            </w:r>
            <w:r>
              <w:rPr>
                <w:sz w:val="21"/>
              </w:rPr>
              <w:t>/</w:t>
            </w:r>
            <w:r>
              <w:rPr>
                <w:sz w:val="21"/>
              </w:rPr>
              <w:t>手动违法抓拍。</w:t>
            </w:r>
          </w:p>
          <w:p>
            <w:pPr>
              <w:pStyle w:val="null3"/>
              <w:jc w:val="both"/>
            </w:pPr>
            <w:r>
              <w:rPr>
                <w:sz w:val="21"/>
              </w:rPr>
              <w:t>2</w:t>
            </w:r>
            <w:r>
              <w:rPr>
                <w:sz w:val="21"/>
              </w:rPr>
              <w:t>、配套交换机、监控杆件（新增杆体）、线缆、监控提示标志等。</w:t>
            </w:r>
          </w:p>
          <w:p>
            <w:pPr>
              <w:pStyle w:val="null3"/>
              <w:jc w:val="both"/>
            </w:pPr>
            <w:r>
              <w:rPr>
                <w:sz w:val="21"/>
              </w:rPr>
              <w:t>3、结合前端监控设备情况统一配套前端管理主机。</w:t>
            </w:r>
          </w:p>
        </w:tc>
        <w:tc>
          <w:tcPr>
            <w:tcW w:type="dxa" w:w="41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详见设计图册</w:t>
            </w:r>
          </w:p>
        </w:tc>
      </w:tr>
    </w:tbl>
    <w:p>
      <w:pPr>
        <w:pStyle w:val="null3"/>
        <w:ind w:left="705"/>
        <w:jc w:val="both"/>
        <w:outlineLvl w:val="2"/>
      </w:pPr>
      <w:r>
        <w:rPr>
          <w:sz w:val="21"/>
          <w:b/>
        </w:rPr>
        <w:t>3.3.2</w:t>
      </w:r>
      <w:r>
        <w:rPr>
          <w:sz w:val="21"/>
          <w:b/>
        </w:rPr>
        <w:t>道路交通技术监控系统后端建设内容</w:t>
      </w:r>
    </w:p>
    <w:p>
      <w:pPr>
        <w:pStyle w:val="null3"/>
        <w:ind w:left="855"/>
        <w:jc w:val="both"/>
        <w:outlineLvl w:val="3"/>
      </w:pPr>
      <w:r>
        <w:rPr>
          <w:sz w:val="21"/>
          <w:b/>
        </w:rPr>
        <w:t>3.3.2.1</w:t>
      </w:r>
      <w:r>
        <w:rPr>
          <w:sz w:val="21"/>
          <w:b/>
        </w:rPr>
        <w:t>后端设备</w:t>
      </w:r>
      <w:r>
        <w:rPr>
          <w:sz w:val="21"/>
          <w:b/>
        </w:rPr>
        <w:t>建设内容</w:t>
      </w:r>
    </w:p>
    <w:p>
      <w:pPr>
        <w:pStyle w:val="null3"/>
        <w:ind w:firstLine="420"/>
        <w:jc w:val="both"/>
      </w:pPr>
      <w:r>
        <w:rPr>
          <w:sz w:val="21"/>
        </w:rPr>
        <w:t>根据建设需求及分析，</w:t>
      </w:r>
      <w:r>
        <w:rPr>
          <w:sz w:val="21"/>
          <w:b/>
        </w:rPr>
        <w:t>1台汇聚交换模块、1台接入层交换模块、</w:t>
      </w:r>
      <w:r>
        <w:rPr>
          <w:sz w:val="21"/>
          <w:b/>
        </w:rPr>
        <w:t>1套36盘位磁盘阵列和36块10T企业级硬盘，用于系统中心管理平台对系统前端的交通违法信息、车辆通行信息（卡口信息）、交通视频信息等图片和视频的存储能力；</w:t>
      </w:r>
    </w:p>
    <w:p>
      <w:pPr>
        <w:pStyle w:val="null3"/>
        <w:spacing w:before="120"/>
        <w:ind w:left="-210"/>
        <w:jc w:val="both"/>
        <w:outlineLvl w:val="0"/>
      </w:pPr>
      <w:r>
        <w:rPr>
          <w:sz w:val="21"/>
          <w:b/>
        </w:rPr>
        <w:t>4.主要设备要求</w:t>
      </w:r>
    </w:p>
    <w:p>
      <w:pPr>
        <w:pStyle w:val="null3"/>
        <w:ind w:firstLine="420"/>
        <w:jc w:val="both"/>
      </w:pPr>
      <w:r>
        <w:rPr>
          <w:sz w:val="21"/>
        </w:rPr>
        <w:t>本系统的建设坚持</w:t>
      </w:r>
      <w:r>
        <w:rPr>
          <w:sz w:val="21"/>
        </w:rPr>
        <w:t>“使用上实用性，经济上合理性”的原则。为确保系统的实用性、可靠性，所选用的设备应符合相关的国家标准和行业标准。并根据项目功能要求，系统建设的设备的技术参数均应不低于以下技术指标要求。</w:t>
      </w:r>
    </w:p>
    <w:p>
      <w:pPr>
        <w:pStyle w:val="null3"/>
        <w:ind w:firstLine="422"/>
        <w:jc w:val="both"/>
      </w:pPr>
      <w:r>
        <w:rPr>
          <w:sz w:val="21"/>
          <w:b/>
        </w:rPr>
        <w:t>4.1</w:t>
      </w:r>
      <w:r>
        <w:rPr>
          <w:sz w:val="21"/>
          <w:b/>
        </w:rPr>
        <w:t>反向卡口抓拍摄像机（</w:t>
      </w:r>
      <w:r>
        <w:rPr>
          <w:sz w:val="21"/>
          <w:b/>
        </w:rPr>
        <w:t>≥900万）</w:t>
      </w:r>
    </w:p>
    <w:tbl>
      <w:tblPr>
        <w:tblW w:w="0" w:type="auto"/>
        <w:tblBorders>
          <w:top w:val="none" w:color="000000" w:sz="4"/>
          <w:left w:val="none" w:color="000000" w:sz="4"/>
          <w:bottom w:val="none" w:color="000000" w:sz="4"/>
          <w:right w:val="none" w:color="000000" w:sz="4"/>
          <w:insideH w:val="none"/>
          <w:insideV w:val="none"/>
        </w:tblBorders>
      </w:tblPr>
      <w:tblGrid>
        <w:gridCol w:w="1945"/>
        <w:gridCol w:w="6359"/>
      </w:tblGrid>
      <w:tr>
        <w:tc>
          <w:tcPr>
            <w:tcW w:type="dxa" w:w="1945"/>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项目</w:t>
            </w:r>
          </w:p>
        </w:tc>
        <w:tc>
          <w:tcPr>
            <w:tcW w:type="dxa" w:w="6359"/>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参数描述</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配置要求</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至少包含摄像机（内置偏振镜）、高清镜头、室外防护罩、风扇、内置补光灯（支持夜间主动触发红外补光）、相机内置防雷模块、电源适配器、安装万向节等</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传感器类型</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不小于1英寸全局曝光</w:t>
            </w:r>
            <w:r>
              <w:rPr>
                <w:sz w:val="21"/>
              </w:rPr>
              <w:t>C</w:t>
            </w:r>
            <w:r>
              <w:rPr>
                <w:sz w:val="21"/>
              </w:rPr>
              <w:t>MOS传感器</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图像处理器</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内置GPU芯片</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镜头</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50mm</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像素</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≥900万</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分辨率</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w:t>
            </w:r>
            <w:r>
              <w:rPr>
                <w:sz w:val="21"/>
              </w:rPr>
              <w:t>4096(H)×2160(V)</w:t>
            </w:r>
            <w:r>
              <w:rPr>
                <w:sz w:val="21"/>
              </w:rPr>
              <w:t>（提供公安部检测机构出具的检测报告复印件证明，注明采购项目名称的水印，并加盖厂商投标专用章或公章）</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帧率</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≥25fps</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接口协议</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GA/T 1400</w:t>
            </w:r>
            <w:r>
              <w:rPr>
                <w:sz w:val="21"/>
              </w:rPr>
              <w:t>，</w:t>
            </w:r>
            <w:r>
              <w:rPr>
                <w:sz w:val="21"/>
              </w:rPr>
              <w:t>GB/T</w:t>
            </w:r>
            <w:r>
              <w:rPr>
                <w:sz w:val="21"/>
              </w:rPr>
              <w:t xml:space="preserve"> </w:t>
            </w:r>
            <w:r>
              <w:rPr>
                <w:sz w:val="21"/>
              </w:rPr>
              <w:t>28181</w:t>
            </w:r>
            <w:r>
              <w:rPr>
                <w:sz w:val="21"/>
              </w:rPr>
              <w:t>，GB35114-A级</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视频压缩标准</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H.264/H.265</w:t>
            </w:r>
            <w:r>
              <w:rPr>
                <w:sz w:val="21"/>
              </w:rPr>
              <w:t>/MJPEG</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输出图片格式</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JPEG</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接口</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≥3个RS-485接口</w:t>
            </w:r>
          </w:p>
          <w:p>
            <w:pPr>
              <w:pStyle w:val="null3"/>
              <w:jc w:val="both"/>
            </w:pPr>
            <w:r>
              <w:rPr>
                <w:sz w:val="21"/>
              </w:rPr>
              <w:t>≥1个RS-232接口</w:t>
            </w:r>
          </w:p>
          <w:p>
            <w:pPr>
              <w:pStyle w:val="null3"/>
              <w:jc w:val="both"/>
            </w:pPr>
            <w:r>
              <w:rPr>
                <w:sz w:val="21"/>
              </w:rPr>
              <w:t>≥2个RJ45 10M/100M/1000M自适应以太网口</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触发输入</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1个触发/报警输入</w:t>
            </w:r>
          </w:p>
        </w:tc>
      </w:tr>
      <w:tr>
        <w:tc>
          <w:tcPr>
            <w:tcW w:type="dxa" w:w="1945"/>
            <w:vMerge w:val="restart"/>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智能功能</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目标检测：机动车抓拍，车辆捕获率≥99%（线圈），车辆捕获率≥99%（视频）</w:t>
            </w:r>
          </w:p>
        </w:tc>
      </w:tr>
      <w:tr>
        <w:tc>
          <w:tcPr>
            <w:tcW w:type="dxa" w:w="1945"/>
            <w:vMerge/>
            <w:tcBorders>
              <w:top w:val="none" w:color="000000" w:sz="4"/>
              <w:left w:val="single" w:color="000000" w:sz="4"/>
              <w:bottom w:val="single" w:color="000000" w:sz="4"/>
              <w:right w:val="single" w:color="000000" w:sz="4"/>
            </w:tcBorders>
          </w:tcP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违法检测：</w:t>
            </w:r>
            <w:r>
              <w:rPr>
                <w:sz w:val="21"/>
              </w:rPr>
              <w:t>机动车压线、逆行等违法行为</w:t>
            </w:r>
          </w:p>
        </w:tc>
      </w:tr>
      <w:tr>
        <w:tc>
          <w:tcPr>
            <w:tcW w:type="dxa" w:w="1945"/>
            <w:vMerge/>
            <w:tcBorders>
              <w:top w:val="none" w:color="000000" w:sz="4"/>
              <w:left w:val="single" w:color="000000" w:sz="4"/>
              <w:bottom w:val="single" w:color="000000" w:sz="4"/>
              <w:right w:val="single" w:color="000000" w:sz="4"/>
            </w:tcBorders>
          </w:tcP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车辆特征检测：车牌识别、车型识别、车身颜色识别(环境光有要求)、车辆品牌</w:t>
            </w:r>
          </w:p>
          <w:p>
            <w:pPr>
              <w:pStyle w:val="null3"/>
              <w:jc w:val="both"/>
            </w:pPr>
            <w:r>
              <w:rPr>
                <w:sz w:val="21"/>
              </w:rPr>
              <w:t>车辆品牌识别：支持识别不少于3</w:t>
            </w:r>
            <w:r>
              <w:rPr>
                <w:sz w:val="21"/>
              </w:rPr>
              <w:t>50</w:t>
            </w:r>
            <w:r>
              <w:rPr>
                <w:sz w:val="21"/>
              </w:rPr>
              <w:t>种车辆品牌</w:t>
            </w:r>
          </w:p>
          <w:p>
            <w:pPr>
              <w:pStyle w:val="null3"/>
              <w:jc w:val="both"/>
            </w:pPr>
            <w:r>
              <w:rPr>
                <w:sz w:val="21"/>
              </w:rPr>
              <w:t>车内人脸抓拍：要求可抓拍车内人脸图像，且人脸图像像素≥100×100</w:t>
            </w:r>
          </w:p>
          <w:p>
            <w:pPr>
              <w:pStyle w:val="null3"/>
              <w:jc w:val="both"/>
            </w:pPr>
            <w:r>
              <w:rPr>
                <w:sz w:val="21"/>
              </w:rPr>
              <w:t>人脸区域自动曝光：可根据人脸区域和光照变化自动调节人脸区域曝光参数，可设置人脸自动曝光的参考亮度、最短持续时间和人脸过滤时间</w:t>
            </w:r>
          </w:p>
          <w:p>
            <w:pPr>
              <w:pStyle w:val="null3"/>
              <w:jc w:val="both"/>
            </w:pPr>
            <w:r>
              <w:rPr>
                <w:sz w:val="21"/>
              </w:rPr>
              <w:t>▲</w:t>
            </w:r>
            <w:r>
              <w:rPr>
                <w:sz w:val="21"/>
              </w:rPr>
              <w:t>支持识别不少于39 种车身颜色，包括白、黑、红、黄、灰、蓝、绿、粉、紫、暗紫、棕、栗色、银灰、暗灰、白烟、深橙、浅玫瑰、番茄红、橄榄、金、暗橄榄、黄绿、绿黄、森林绿、海洋绿、深天蓝、青、深蓝、深红、深绿、深黄、深粉、深紫、深棕、深青、橙、深金、粉红、其他；支持识别车身副颜色</w:t>
            </w:r>
            <w:r>
              <w:rPr>
                <w:sz w:val="21"/>
              </w:rPr>
              <w:t>（提供公安部检测机构出具的检测报告复印件证明，注明采购项目名称的水印，并加盖厂商投标专用章或公章）</w:t>
            </w:r>
          </w:p>
          <w:p>
            <w:pPr>
              <w:pStyle w:val="null3"/>
              <w:jc w:val="both"/>
            </w:pPr>
            <w:r>
              <w:rPr>
                <w:sz w:val="21"/>
              </w:rPr>
              <w:t>▲</w:t>
            </w:r>
            <w:r>
              <w:rPr>
                <w:sz w:val="21"/>
              </w:rPr>
              <w:t>网络直连情况下，在只输出主码流、分辨率设置为≥1920×1080、帧率设置为≥25fps, 码率设置为≥1Mbps，网络协议为UDP、最短延时、智能分析关闭时，视频图像传输至客户端的延时时间小于等于70ms</w:t>
            </w:r>
            <w:r>
              <w:rPr>
                <w:sz w:val="21"/>
              </w:rPr>
              <w:t>（提供公安部检测机构出具的检测报告复印件证明，注明采购项目名称的水印，并加盖厂商投标专用章或公章）</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终端接入</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支持接入终端服务模块</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电压</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至少100VAC～240VAC</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频率</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至少48Hz～52Hz</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功耗</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≤20W</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工作环境温度</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至少-30℃～+60℃</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工作环境湿度</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至少5%~95%@40℃，无凝结</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防护等级</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≥IP6</w:t>
            </w:r>
            <w:r>
              <w:rPr>
                <w:sz w:val="21"/>
              </w:rPr>
              <w:t>7</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补光功能</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需提供设备执法类型检测报告（逆向行驶行为记录、禁止停车区域内停车行为记录、机动车违反禁止标线指示等交通违法行为等）</w:t>
            </w:r>
          </w:p>
        </w:tc>
      </w:tr>
    </w:tbl>
    <w:p>
      <w:pPr>
        <w:pStyle w:val="null3"/>
        <w:spacing w:before="120"/>
        <w:ind w:left="570"/>
        <w:jc w:val="both"/>
        <w:outlineLvl w:val="1"/>
      </w:pPr>
      <w:r>
        <w:rPr>
          <w:sz w:val="21"/>
          <w:b/>
        </w:rPr>
        <w:t>4.2.反向卡口抓拍摄像机（≥500万）</w:t>
      </w:r>
    </w:p>
    <w:tbl>
      <w:tblPr>
        <w:tblW w:w="0" w:type="auto"/>
        <w:tblBorders>
          <w:top w:val="none" w:color="000000" w:sz="4"/>
          <w:left w:val="none" w:color="000000" w:sz="4"/>
          <w:bottom w:val="none" w:color="000000" w:sz="4"/>
          <w:right w:val="none" w:color="000000" w:sz="4"/>
          <w:insideH w:val="none"/>
          <w:insideV w:val="none"/>
        </w:tblBorders>
      </w:tblPr>
      <w:tblGrid>
        <w:gridCol w:w="1945"/>
        <w:gridCol w:w="6359"/>
      </w:tblGrid>
      <w:tr>
        <w:tc>
          <w:tcPr>
            <w:tcW w:type="dxa" w:w="1945"/>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项目</w:t>
            </w:r>
          </w:p>
        </w:tc>
        <w:tc>
          <w:tcPr>
            <w:tcW w:type="dxa" w:w="6359"/>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参数描述</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配置要求</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至少包含摄像机（内置偏振镜）、高清镜头、室外防护罩、风扇、内置补光灯（支持夜间主动触发红外补光）、相机内置防雷模块、电源适配器、安装万向节等</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传感器类型</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不小于</w:t>
            </w:r>
            <w:r>
              <w:rPr>
                <w:sz w:val="21"/>
              </w:rPr>
              <w:t>2/3</w:t>
            </w:r>
            <w:r>
              <w:rPr>
                <w:sz w:val="21"/>
              </w:rPr>
              <w:t>英寸全局曝光</w:t>
            </w:r>
            <w:r>
              <w:rPr>
                <w:sz w:val="21"/>
              </w:rPr>
              <w:t>C</w:t>
            </w:r>
            <w:r>
              <w:rPr>
                <w:sz w:val="21"/>
              </w:rPr>
              <w:t>MOS传感器</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传感器数量</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不少于2个，可分别输出黑白及彩色图像，可对视频图像和抓拍图片进行融合输出</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图像处理器</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内置GPU芯片</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镜头</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50mm</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像素</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5</w:t>
            </w:r>
            <w:r>
              <w:rPr>
                <w:sz w:val="21"/>
              </w:rPr>
              <w:t>00万</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分辨率</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w:t>
            </w:r>
            <w:r>
              <w:rPr>
                <w:sz w:val="21"/>
              </w:rPr>
              <w:t>2448(H)×2048(V)</w:t>
            </w:r>
            <w:r>
              <w:rPr>
                <w:sz w:val="21"/>
              </w:rPr>
              <w:t>（提供公安部检测机构出具的检测报告复印件证明，注明采购项目名称的水印，并加盖厂商投标专用章或公章）</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帧率</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≥25fps</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接口协议</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GA/T 1400</w:t>
            </w:r>
            <w:r>
              <w:rPr>
                <w:sz w:val="21"/>
              </w:rPr>
              <w:t>，</w:t>
            </w:r>
            <w:r>
              <w:rPr>
                <w:sz w:val="21"/>
              </w:rPr>
              <w:t>GB/T</w:t>
            </w:r>
            <w:r>
              <w:rPr>
                <w:sz w:val="21"/>
              </w:rPr>
              <w:t xml:space="preserve"> </w:t>
            </w:r>
            <w:r>
              <w:rPr>
                <w:sz w:val="21"/>
              </w:rPr>
              <w:t>28181</w:t>
            </w:r>
            <w:r>
              <w:rPr>
                <w:sz w:val="21"/>
              </w:rPr>
              <w:t>，GB35114-A级</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视频压缩标准</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H.264/H.265</w:t>
            </w:r>
            <w:r>
              <w:rPr>
                <w:sz w:val="21"/>
              </w:rPr>
              <w:t>/MJPEG</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输出图片格式</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JPEG</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接口</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≥3个RS-485接口</w:t>
            </w:r>
          </w:p>
          <w:p>
            <w:pPr>
              <w:pStyle w:val="null3"/>
              <w:jc w:val="both"/>
            </w:pPr>
            <w:r>
              <w:rPr>
                <w:sz w:val="21"/>
              </w:rPr>
              <w:t>≥1个RS-232接口</w:t>
            </w:r>
          </w:p>
          <w:p>
            <w:pPr>
              <w:pStyle w:val="null3"/>
              <w:jc w:val="both"/>
            </w:pPr>
            <w:r>
              <w:rPr>
                <w:sz w:val="21"/>
              </w:rPr>
              <w:t>≥2个RJ45 10M/100M/1000M自适应以太网口</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触发输入</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1个触发/报警输入</w:t>
            </w:r>
          </w:p>
        </w:tc>
      </w:tr>
      <w:tr>
        <w:tc>
          <w:tcPr>
            <w:tcW w:type="dxa" w:w="1945"/>
            <w:vMerge w:val="restart"/>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智能功能</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目标检测：机动车抓拍，车辆捕获率≥99%（线圈），车辆捕获率≥99%（视频）</w:t>
            </w:r>
          </w:p>
        </w:tc>
      </w:tr>
      <w:tr>
        <w:tc>
          <w:tcPr>
            <w:tcW w:type="dxa" w:w="1945"/>
            <w:vMerge/>
            <w:tcBorders>
              <w:top w:val="none" w:color="000000" w:sz="4"/>
              <w:left w:val="single" w:color="000000" w:sz="4"/>
              <w:bottom w:val="single" w:color="000000" w:sz="4"/>
              <w:right w:val="single" w:color="000000" w:sz="4"/>
            </w:tcBorders>
          </w:tcP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违法检测：</w:t>
            </w:r>
            <w:r>
              <w:rPr>
                <w:sz w:val="21"/>
              </w:rPr>
              <w:t>机动车压线、逆行等违法行为</w:t>
            </w:r>
          </w:p>
        </w:tc>
      </w:tr>
      <w:tr>
        <w:tc>
          <w:tcPr>
            <w:tcW w:type="dxa" w:w="1945"/>
            <w:vMerge/>
            <w:tcBorders>
              <w:top w:val="none" w:color="000000" w:sz="4"/>
              <w:left w:val="single" w:color="000000" w:sz="4"/>
              <w:bottom w:val="single" w:color="000000" w:sz="4"/>
              <w:right w:val="single" w:color="000000" w:sz="4"/>
            </w:tcBorders>
          </w:tcP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车辆特征检测：车牌识别、车型识别、车身颜色识别(环境光有要求)、车辆品牌</w:t>
            </w:r>
          </w:p>
          <w:p>
            <w:pPr>
              <w:pStyle w:val="null3"/>
              <w:jc w:val="both"/>
            </w:pPr>
            <w:r>
              <w:rPr>
                <w:sz w:val="21"/>
              </w:rPr>
              <w:t>车辆品牌识别：支持识别不少于3</w:t>
            </w:r>
            <w:r>
              <w:rPr>
                <w:sz w:val="21"/>
              </w:rPr>
              <w:t>50</w:t>
            </w:r>
            <w:r>
              <w:rPr>
                <w:sz w:val="21"/>
              </w:rPr>
              <w:t>种车辆品牌</w:t>
            </w:r>
          </w:p>
          <w:p>
            <w:pPr>
              <w:pStyle w:val="null3"/>
              <w:jc w:val="both"/>
            </w:pPr>
            <w:r>
              <w:rPr>
                <w:sz w:val="21"/>
              </w:rPr>
              <w:t>车内人脸抓拍：要求可抓拍车内人脸图像，且人脸图像像素≥100×100</w:t>
            </w:r>
          </w:p>
          <w:p>
            <w:pPr>
              <w:pStyle w:val="null3"/>
              <w:jc w:val="both"/>
            </w:pPr>
            <w:r>
              <w:rPr>
                <w:sz w:val="21"/>
              </w:rPr>
              <w:t>人脸区域自动曝光：可根据人脸区域和光照变化自动调节人脸区域曝光参数，可设置人脸自动曝光的参考亮度、最短持续时间和人脸过滤时间</w:t>
            </w:r>
          </w:p>
          <w:p>
            <w:pPr>
              <w:pStyle w:val="null3"/>
              <w:jc w:val="both"/>
            </w:pPr>
            <w:r>
              <w:rPr>
                <w:sz w:val="21"/>
              </w:rPr>
              <w:t>▲</w:t>
            </w:r>
            <w:r>
              <w:rPr>
                <w:sz w:val="21"/>
              </w:rPr>
              <w:t>支持分别对不少于11种车型（大货车、中货车、小货车、客车、小轿车、中客车、危险品运输车、校车、面包车、环卫车、其他车型）进行不同超速比设置，可设置≥18个超速比区间。在相同道路上，设备支持根据不同的超速比设置对不同车型进行超速抓拍，并输出不同的超速抓拍结果及违法代码</w:t>
            </w:r>
            <w:r>
              <w:rPr>
                <w:sz w:val="21"/>
              </w:rPr>
              <w:t>（提供公安部检测机构出具的检测报告复印件证明，注明采购项目名称的水印，并加盖厂商投标专用章或公章）</w:t>
            </w:r>
          </w:p>
          <w:p>
            <w:pPr>
              <w:pStyle w:val="null3"/>
              <w:jc w:val="both"/>
            </w:pPr>
            <w:r>
              <w:rPr>
                <w:sz w:val="21"/>
              </w:rPr>
              <w:t>▲</w:t>
            </w:r>
            <w:r>
              <w:rPr>
                <w:sz w:val="21"/>
              </w:rPr>
              <w:t>支持检测并跟踪指定区域内不少于245个目标，目标包括机动车、非机动车以及行人</w:t>
            </w:r>
            <w:r>
              <w:rPr>
                <w:sz w:val="21"/>
              </w:rPr>
              <w:t>（提供公安部检测机构出具的检测报告复印件证明，注明</w:t>
            </w:r>
            <w:r>
              <w:rPr>
                <w:sz w:val="21"/>
              </w:rPr>
              <w:t>采购</w:t>
            </w:r>
            <w:r>
              <w:rPr>
                <w:sz w:val="21"/>
              </w:rPr>
              <w:t>项目名称的水印，并加盖厂商投标专用章或公章）</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终端接入</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支持接入终端服务模块</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电压</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至少100VAC～240VAC</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频率</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至少48Hz～52Hz</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功耗</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≤20W</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工作环境温度</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至少-30℃～+60℃</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工作环境湿度</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至少5%~95%@40℃，无凝结</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防护等级</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≥IP6</w:t>
            </w:r>
            <w:r>
              <w:rPr>
                <w:sz w:val="21"/>
              </w:rPr>
              <w:t>7</w:t>
            </w:r>
          </w:p>
        </w:tc>
      </w:tr>
      <w:tr>
        <w:tc>
          <w:tcPr>
            <w:tcW w:type="dxa" w:w="19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补光功能</w:t>
            </w:r>
          </w:p>
        </w:tc>
        <w:tc>
          <w:tcPr>
            <w:tcW w:type="dxa" w:w="635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需提供设备执法类型检测报告（逆向行驶行为记录、禁止停车区域内停车行为记录、机动车违反禁止标线指示等交通违法行为等）</w:t>
            </w:r>
          </w:p>
        </w:tc>
      </w:tr>
    </w:tbl>
    <w:p>
      <w:pPr>
        <w:pStyle w:val="null3"/>
        <w:spacing w:before="120"/>
        <w:ind w:left="570"/>
        <w:jc w:val="both"/>
        <w:outlineLvl w:val="1"/>
      </w:pPr>
      <w:r>
        <w:rPr>
          <w:sz w:val="21"/>
          <w:b/>
        </w:rPr>
        <w:t>4.3.电子警察抓拍摄像机（≥900万）</w:t>
      </w:r>
    </w:p>
    <w:tbl>
      <w:tblPr>
        <w:tblW w:w="0" w:type="auto"/>
        <w:tblBorders>
          <w:top w:val="none" w:color="000000" w:sz="4"/>
          <w:left w:val="none" w:color="000000" w:sz="4"/>
          <w:bottom w:val="none" w:color="000000" w:sz="4"/>
          <w:right w:val="none" w:color="000000" w:sz="4"/>
          <w:insideH w:val="none"/>
          <w:insideV w:val="none"/>
        </w:tblBorders>
      </w:tblPr>
      <w:tblGrid>
        <w:gridCol w:w="1932"/>
        <w:gridCol w:w="6372"/>
      </w:tblGrid>
      <w:tr>
        <w:tc>
          <w:tcPr>
            <w:tcW w:type="dxa" w:w="1932"/>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项目</w:t>
            </w:r>
          </w:p>
        </w:tc>
        <w:tc>
          <w:tcPr>
            <w:tcW w:type="dxa" w:w="6372"/>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参数描述</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配置要求</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至少包含摄像机、高清镜头、室外防护罩、风扇、内置补光灯、相机内置防雷模块、电源适配器、安装万向节等</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传感器类型</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不小于1英寸全局曝光</w:t>
            </w:r>
            <w:r>
              <w:rPr>
                <w:sz w:val="21"/>
              </w:rPr>
              <w:t>C</w:t>
            </w:r>
            <w:r>
              <w:rPr>
                <w:sz w:val="21"/>
              </w:rPr>
              <w:t>MOS传感器</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图像处理器</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内置GPU芯片</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像素</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≥900万</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分辨率</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w:t>
            </w:r>
            <w:r>
              <w:rPr>
                <w:sz w:val="21"/>
              </w:rPr>
              <w:t>4096(H)×2160(V)</w:t>
            </w:r>
            <w:r>
              <w:rPr>
                <w:sz w:val="21"/>
              </w:rPr>
              <w:t>（提供公安部检测机构出具的检测报告复印件证明，注明</w:t>
            </w:r>
            <w:r>
              <w:rPr>
                <w:sz w:val="21"/>
              </w:rPr>
              <w:t>采购</w:t>
            </w:r>
            <w:r>
              <w:rPr>
                <w:sz w:val="21"/>
              </w:rPr>
              <w:t>项目名称的水印，并加盖厂商投标专用章或公章）</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帧率</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≥25fps</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接口协议</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ISAPI</w:t>
            </w:r>
            <w:r>
              <w:rPr>
                <w:sz w:val="21"/>
              </w:rPr>
              <w:t>，</w:t>
            </w:r>
            <w:r>
              <w:rPr>
                <w:sz w:val="21"/>
              </w:rPr>
              <w:t>GB/T</w:t>
            </w:r>
            <w:r>
              <w:rPr>
                <w:sz w:val="21"/>
              </w:rPr>
              <w:t xml:space="preserve"> </w:t>
            </w:r>
            <w:r>
              <w:rPr>
                <w:sz w:val="21"/>
              </w:rPr>
              <w:t>28181</w:t>
            </w:r>
            <w:r>
              <w:rPr>
                <w:sz w:val="21"/>
              </w:rPr>
              <w:t>，GB35114-A级</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视频压缩标准</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H.264/H.265</w:t>
            </w:r>
            <w:r>
              <w:rPr>
                <w:sz w:val="21"/>
              </w:rPr>
              <w:t>/MJPEG</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输出图片格式</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JPEG</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接口</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≥3个RS-485接口</w:t>
            </w:r>
          </w:p>
          <w:p>
            <w:pPr>
              <w:pStyle w:val="null3"/>
              <w:jc w:val="both"/>
            </w:pPr>
            <w:r>
              <w:rPr>
                <w:sz w:val="21"/>
              </w:rPr>
              <w:t>≥1个RS-232接口</w:t>
            </w:r>
          </w:p>
          <w:p>
            <w:pPr>
              <w:pStyle w:val="null3"/>
              <w:jc w:val="both"/>
            </w:pPr>
            <w:r>
              <w:rPr>
                <w:sz w:val="21"/>
              </w:rPr>
              <w:t>≥2个RJ45 10M/100M/1000M自适应以太网口</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触发输入</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1个触发/报警输入</w:t>
            </w:r>
          </w:p>
        </w:tc>
      </w:tr>
      <w:tr>
        <w:tc>
          <w:tcPr>
            <w:tcW w:type="dxa" w:w="1932"/>
            <w:vMerge w:val="restart"/>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智能功能</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目标检测：机动车抓拍，车辆捕获率≥99%（线圈），车辆捕获率≥99%（视频）</w:t>
            </w:r>
          </w:p>
        </w:tc>
      </w:tr>
      <w:tr>
        <w:tc>
          <w:tcPr>
            <w:tcW w:type="dxa" w:w="1932"/>
            <w:vMerge/>
            <w:tcBorders>
              <w:top w:val="none" w:color="000000" w:sz="4"/>
              <w:left w:val="single" w:color="000000" w:sz="4"/>
              <w:bottom w:val="single" w:color="000000" w:sz="4"/>
              <w:right w:val="single" w:color="000000" w:sz="4"/>
            </w:tcBorders>
          </w:tcP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违法检测：压线、逆行、闯红灯、不按导向行驶、违法变道</w:t>
            </w:r>
          </w:p>
        </w:tc>
      </w:tr>
      <w:tr>
        <w:tc>
          <w:tcPr>
            <w:tcW w:type="dxa" w:w="1932"/>
            <w:vMerge/>
            <w:tcBorders>
              <w:top w:val="none" w:color="000000" w:sz="4"/>
              <w:left w:val="single" w:color="000000" w:sz="4"/>
              <w:bottom w:val="single" w:color="000000" w:sz="4"/>
              <w:right w:val="single" w:color="000000" w:sz="4"/>
            </w:tcBorders>
          </w:tcP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车辆特征检测：车牌识别、车型识别、车身颜色识别(环境光有要求)、车辆品牌</w:t>
            </w:r>
          </w:p>
          <w:p>
            <w:pPr>
              <w:pStyle w:val="null3"/>
              <w:jc w:val="both"/>
            </w:pPr>
            <w:r>
              <w:rPr>
                <w:sz w:val="21"/>
              </w:rPr>
              <w:t>车辆品牌识别：支持识别车标类型≥450种，白天车标识别准确率≥99%，晚上车标识别准确率≥99%</w:t>
            </w:r>
          </w:p>
          <w:p>
            <w:pPr>
              <w:pStyle w:val="null3"/>
              <w:jc w:val="both"/>
            </w:pPr>
            <w:r>
              <w:rPr>
                <w:sz w:val="21"/>
              </w:rPr>
              <w:t>支持根据现场违章抓拍需求通过web界面设置事件优先度，事件优先度1～16可设，设置后可按事件优先度进行违章抓拍及图片存储</w:t>
            </w:r>
          </w:p>
          <w:p>
            <w:pPr>
              <w:pStyle w:val="null3"/>
              <w:jc w:val="both"/>
            </w:pPr>
            <w:r>
              <w:rPr>
                <w:sz w:val="21"/>
              </w:rPr>
              <w:t>支持检测并跟踪指定区域内不少于200个目标,目标包括机动车、非机动车以及行人等</w:t>
            </w:r>
          </w:p>
          <w:p>
            <w:pPr>
              <w:pStyle w:val="null3"/>
              <w:jc w:val="both"/>
            </w:pPr>
            <w:r>
              <w:rPr>
                <w:sz w:val="21"/>
              </w:rPr>
              <w:t>▲</w:t>
            </w:r>
            <w:r>
              <w:rPr>
                <w:sz w:val="21"/>
              </w:rPr>
              <w:t>支持识别不少于39种车身颜色，包括白、黑、红、黄、灰、蓝、绿、粉、紫、暗紫、棕、栗色、银灰、暗灰、白烟、深橙、浅玫瑰、番茄红、橄榄、金、暗橄榄、黄绿、绿黄、森林绿、海洋绿、深天蓝、青、深蓝、深红、深绿、深黄、深粉、深紫、深棕、深青、橙、深金、粉红、其他；支持识别车身副颜色；支持识别不少于50种车型</w:t>
            </w:r>
            <w:r>
              <w:rPr>
                <w:sz w:val="21"/>
              </w:rPr>
              <w:t>（提供公安部检测机构出具的检测报告复印件证明，注明</w:t>
            </w:r>
            <w:r>
              <w:rPr>
                <w:sz w:val="21"/>
              </w:rPr>
              <w:t>采购</w:t>
            </w:r>
            <w:r>
              <w:rPr>
                <w:sz w:val="21"/>
              </w:rPr>
              <w:t>项目名称的水印，并加盖厂商投标专用章或公章）</w:t>
            </w:r>
          </w:p>
          <w:p>
            <w:pPr>
              <w:pStyle w:val="null3"/>
              <w:jc w:val="both"/>
            </w:pPr>
            <w:r>
              <w:rPr>
                <w:sz w:val="21"/>
              </w:rPr>
              <w:t>▲支持对25×10 像素～1100×3000 像素的机动车车牌进行抓拍并识别。支持识别并抓拍垂直倾斜角度≤55°、水平倾斜角度≤35°、俯仰角度≤40°的机动车车牌（提供公安部检测机构出具的检测报告复印件证明，注明</w:t>
            </w:r>
            <w:r>
              <w:rPr>
                <w:sz w:val="21"/>
              </w:rPr>
              <w:t>采购</w:t>
            </w:r>
            <w:r>
              <w:rPr>
                <w:sz w:val="21"/>
              </w:rPr>
              <w:t>项目名称的水印，并加盖厂商投标专用章或公章）</w:t>
            </w:r>
          </w:p>
          <w:p>
            <w:pPr>
              <w:pStyle w:val="null3"/>
              <w:jc w:val="both"/>
            </w:pPr>
            <w:r>
              <w:rPr>
                <w:sz w:val="21"/>
              </w:rPr>
              <w:t>▲支持对摩托车闯红灯、逆行、载人、未戴头盔行为进行检测并抓拍图片；在天气晴朗无雾，车辆无遮挡，白天环境光照度不低于200lx的情况下进行测试；捕获率≥99%；检测准确率≥99%。（提供公安部检测机构出具的检测报告复印件证明，注明采购项目名称的水印，并加盖厂商投标专用章或公章）</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终端接入</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支持接入终端服务器</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电压</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至少100VAC～240VAC</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频率</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至少48Hz～52Hz</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功耗</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≤20W</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工作环境温度</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至少-30℃～+60℃</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工作环境湿度</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至少5%~95%@40℃，无凝结</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防护等级</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≥IP6</w:t>
            </w:r>
            <w:r>
              <w:rPr>
                <w:sz w:val="21"/>
              </w:rPr>
              <w:t>7</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其它</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需提供设备执法类型检测报告（</w:t>
            </w:r>
            <w:r>
              <w:rPr>
                <w:sz w:val="21"/>
              </w:rPr>
              <w:t>闯红灯行为记录、闯禁令记录、机动车不按规定驶入导向车道行为记录、违法变道记录、未系安全带检测、逆向行驶行为记录、未悬挂号牌、接打电话等</w:t>
            </w:r>
            <w:r>
              <w:rPr>
                <w:sz w:val="21"/>
              </w:rPr>
              <w:t>）</w:t>
            </w:r>
          </w:p>
        </w:tc>
      </w:tr>
      <w:tr>
        <w:tc>
          <w:tcPr>
            <w:tcW w:type="dxa" w:w="193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补光功能</w:t>
            </w:r>
          </w:p>
        </w:tc>
        <w:tc>
          <w:tcPr>
            <w:tcW w:type="dxa" w:w="6372"/>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与补光灯、闪光灯功能适配</w:t>
            </w:r>
          </w:p>
        </w:tc>
      </w:tr>
    </w:tbl>
    <w:p>
      <w:pPr>
        <w:pStyle w:val="null3"/>
        <w:spacing w:before="120"/>
        <w:ind w:left="570"/>
        <w:jc w:val="both"/>
        <w:outlineLvl w:val="1"/>
      </w:pPr>
      <w:r>
        <w:rPr>
          <w:sz w:val="21"/>
          <w:b/>
        </w:rPr>
        <w:t>4.4电子警察抓拍摄像机（≥500万）</w:t>
      </w:r>
    </w:p>
    <w:tbl>
      <w:tblPr>
        <w:tblW w:w="0" w:type="auto"/>
        <w:tblBorders>
          <w:top w:val="none" w:color="000000" w:sz="4"/>
          <w:left w:val="none" w:color="000000" w:sz="4"/>
          <w:bottom w:val="none" w:color="000000" w:sz="4"/>
          <w:right w:val="none" w:color="000000" w:sz="4"/>
          <w:insideH w:val="none"/>
          <w:insideV w:val="none"/>
        </w:tblBorders>
      </w:tblPr>
      <w:tblGrid>
        <w:gridCol w:w="1919"/>
        <w:gridCol w:w="6386"/>
      </w:tblGrid>
      <w:tr>
        <w:tc>
          <w:tcPr>
            <w:tcW w:type="dxa" w:w="1919"/>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项目</w:t>
            </w:r>
          </w:p>
        </w:tc>
        <w:tc>
          <w:tcPr>
            <w:tcW w:type="dxa" w:w="6386"/>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参数描述</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配置要求</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至少包含摄像机、高清镜头、室外防护罩、风扇、内置补光灯、相机内置防雷模块、电源适配器、安装万向节等</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传感器类型</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不小于</w:t>
            </w:r>
            <w:r>
              <w:rPr>
                <w:sz w:val="21"/>
              </w:rPr>
              <w:t>2/3</w:t>
            </w:r>
            <w:r>
              <w:rPr>
                <w:sz w:val="21"/>
              </w:rPr>
              <w:t>英寸全局曝光</w:t>
            </w:r>
            <w:r>
              <w:rPr>
                <w:sz w:val="21"/>
              </w:rPr>
              <w:t>C</w:t>
            </w:r>
            <w:r>
              <w:rPr>
                <w:sz w:val="21"/>
              </w:rPr>
              <w:t>MOS传感器</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图像处理器</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内置GPU芯片</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像素</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5</w:t>
            </w:r>
            <w:r>
              <w:rPr>
                <w:sz w:val="21"/>
              </w:rPr>
              <w:t>00万</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分辨率</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2448(H)×2048(V)</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帧率</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≥25fps</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接口协议</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ISAPI</w:t>
            </w:r>
            <w:r>
              <w:rPr>
                <w:sz w:val="21"/>
              </w:rPr>
              <w:t xml:space="preserve"> ，</w:t>
            </w:r>
            <w:r>
              <w:rPr>
                <w:sz w:val="21"/>
              </w:rPr>
              <w:t>GB/T</w:t>
            </w:r>
            <w:r>
              <w:rPr>
                <w:sz w:val="21"/>
              </w:rPr>
              <w:t xml:space="preserve"> </w:t>
            </w:r>
            <w:r>
              <w:rPr>
                <w:sz w:val="21"/>
              </w:rPr>
              <w:t>28181</w:t>
            </w:r>
            <w:r>
              <w:rPr>
                <w:sz w:val="21"/>
              </w:rPr>
              <w:t>，GB35114-A级</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视频压缩标准</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H.264/H.265</w:t>
            </w:r>
            <w:r>
              <w:rPr>
                <w:sz w:val="21"/>
              </w:rPr>
              <w:t>/MJPEG</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输出图片格式</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JPEG</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接口</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≥3个RS-485接口</w:t>
            </w:r>
          </w:p>
          <w:p>
            <w:pPr>
              <w:pStyle w:val="null3"/>
              <w:jc w:val="both"/>
            </w:pPr>
            <w:r>
              <w:rPr>
                <w:sz w:val="21"/>
              </w:rPr>
              <w:t>≥1个RS-232接口</w:t>
            </w:r>
          </w:p>
          <w:p>
            <w:pPr>
              <w:pStyle w:val="null3"/>
              <w:jc w:val="both"/>
            </w:pPr>
            <w:r>
              <w:rPr>
                <w:sz w:val="21"/>
              </w:rPr>
              <w:t>≥2个RJ45 10M/100M/1000M自适应以太网口</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触发输入</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1个触发/报警输入</w:t>
            </w:r>
          </w:p>
        </w:tc>
      </w:tr>
      <w:tr>
        <w:tc>
          <w:tcPr>
            <w:tcW w:type="dxa" w:w="1919"/>
            <w:vMerge w:val="restart"/>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智能功能</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目标检测：机动车抓拍，车辆捕获率≥99%（线圈），车辆捕获率≥99%（视频）</w:t>
            </w:r>
          </w:p>
        </w:tc>
      </w:tr>
      <w:tr>
        <w:tc>
          <w:tcPr>
            <w:tcW w:type="dxa" w:w="1919"/>
            <w:vMerge/>
            <w:tcBorders>
              <w:top w:val="none" w:color="000000" w:sz="4"/>
              <w:left w:val="single" w:color="000000" w:sz="4"/>
              <w:bottom w:val="single" w:color="000000" w:sz="4"/>
              <w:right w:val="single" w:color="000000" w:sz="4"/>
            </w:tcBorders>
          </w:tcP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违法检测：压线、逆行、闯红灯、不按导向行驶、违法变道、闯绿灯</w:t>
            </w:r>
          </w:p>
        </w:tc>
      </w:tr>
      <w:tr>
        <w:tc>
          <w:tcPr>
            <w:tcW w:type="dxa" w:w="1919"/>
            <w:vMerge/>
            <w:tcBorders>
              <w:top w:val="none" w:color="000000" w:sz="4"/>
              <w:left w:val="single" w:color="000000" w:sz="4"/>
              <w:bottom w:val="single" w:color="000000" w:sz="4"/>
              <w:right w:val="single" w:color="000000" w:sz="4"/>
            </w:tcBorders>
          </w:tcP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车辆特征检测：车牌识别、车型识别、车身颜色识别(环境光有要求)、车辆品牌</w:t>
            </w:r>
          </w:p>
          <w:p>
            <w:pPr>
              <w:pStyle w:val="null3"/>
              <w:jc w:val="both"/>
            </w:pPr>
            <w:r>
              <w:rPr>
                <w:sz w:val="21"/>
              </w:rPr>
              <w:t>车辆品牌识别：支持识别车标类型≥450种，白天车标识别准确率≥99%，晚上车标识别准确率≥99%</w:t>
            </w:r>
          </w:p>
          <w:p>
            <w:pPr>
              <w:pStyle w:val="null3"/>
              <w:jc w:val="both"/>
            </w:pPr>
            <w:r>
              <w:rPr>
                <w:sz w:val="21"/>
              </w:rPr>
              <w:t>支持检测并跟踪指定区域内不少于200个目标,目标包括机动车、非机动车以及行人等</w:t>
            </w:r>
          </w:p>
          <w:p>
            <w:pPr>
              <w:pStyle w:val="null3"/>
              <w:jc w:val="both"/>
            </w:pPr>
            <w:r>
              <w:rPr>
                <w:sz w:val="21"/>
              </w:rPr>
              <w:t>支持不少于14种车身颜色识别，包括但不限于黑、白、灰、红、绿、蓝、黄、粉、紫、棕、青、金、橙、银灰</w:t>
            </w:r>
          </w:p>
          <w:p>
            <w:pPr>
              <w:pStyle w:val="null3"/>
              <w:jc w:val="both"/>
            </w:pPr>
            <w:r>
              <w:rPr>
                <w:sz w:val="21"/>
              </w:rPr>
              <w:t>▲支持设置车辆抓拍位置到立杆的架设距离、设备架设高度，并在视频图像中显示位置信息（提供公安部检测机构出具的检测报告复印件证明，注明采购项目名称的水印，并加盖厂商投标专用章或公章）</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终端接入</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支持接入终端服务器</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电压</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至少100VAC～240VAC</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频率</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至少48Hz～52Hz</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功耗</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≤20W</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工作环境温度</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至少-30℃～+60℃</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工作环境湿度</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至少5%~95%@40℃，无凝结</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防护等级</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≥IP6</w:t>
            </w:r>
            <w:r>
              <w:rPr>
                <w:sz w:val="21"/>
              </w:rPr>
              <w:t>7</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其它</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需提供设备执法类型检测报告（</w:t>
            </w:r>
            <w:r>
              <w:rPr>
                <w:sz w:val="21"/>
              </w:rPr>
              <w:t>闯红灯行为记录、闯禁令记录、机动车不按规定驶入导向车道行为记录、违法变道记录、未系安全带检测、逆向行驶行为记录、未悬挂号牌、接打电话等</w:t>
            </w:r>
            <w:r>
              <w:rPr>
                <w:sz w:val="21"/>
              </w:rPr>
              <w:t>）</w:t>
            </w:r>
          </w:p>
        </w:tc>
      </w:tr>
      <w:tr>
        <w:tc>
          <w:tcPr>
            <w:tcW w:type="dxa" w:w="191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补光功能</w:t>
            </w:r>
          </w:p>
        </w:tc>
        <w:tc>
          <w:tcPr>
            <w:tcW w:type="dxa" w:w="638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与补光灯、闪光灯功能适配</w:t>
            </w:r>
          </w:p>
        </w:tc>
      </w:tr>
    </w:tbl>
    <w:p>
      <w:pPr>
        <w:pStyle w:val="null3"/>
        <w:spacing w:before="120"/>
        <w:ind w:left="570"/>
        <w:jc w:val="both"/>
        <w:outlineLvl w:val="1"/>
      </w:pPr>
      <w:r>
        <w:rPr>
          <w:sz w:val="21"/>
          <w:b/>
        </w:rPr>
        <w:t>4.5多功能补光灯</w:t>
      </w:r>
    </w:p>
    <w:tbl>
      <w:tblPr>
        <w:tblW w:w="0" w:type="auto"/>
        <w:tblBorders>
          <w:top w:val="none" w:color="000000" w:sz="4"/>
          <w:left w:val="none" w:color="000000" w:sz="4"/>
          <w:bottom w:val="none" w:color="000000" w:sz="4"/>
          <w:right w:val="none" w:color="000000" w:sz="4"/>
          <w:insideH w:val="none"/>
          <w:insideV w:val="none"/>
        </w:tblBorders>
      </w:tblPr>
      <w:tblGrid>
        <w:gridCol w:w="1940"/>
        <w:gridCol w:w="6364"/>
      </w:tblGrid>
      <w:tr>
        <w:tc>
          <w:tcPr>
            <w:tcW w:type="dxa" w:w="1940"/>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项目</w:t>
            </w:r>
          </w:p>
        </w:tc>
        <w:tc>
          <w:tcPr>
            <w:tcW w:type="dxa" w:w="6364"/>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规格参数</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光源类型</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LED灯频闪、白光气体爆闪，红外气体爆闪或微光LED爆闪</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补光模式</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至少支持LED灯频闪、白光气体爆闪，红外气体爆闪或微光LED爆闪</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LED灯珠数量</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≥16颗</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色温</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白光至少5000K~7000K</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发光角度</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单车道</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气体爆闪峰值闪光持续时间</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≤1/30ms</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气体爆闪回电时间</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＜67ms</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气体单次闪光能量</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≤200J</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最佳补光距离</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至少16米～30米</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触发方式</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电平量触发</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触发信号电平</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至少4V~6V</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触发频率</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至少0Hz~250 Hz</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触发占空比</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1%~39%，当占空比大于等于40%时进入自保护状态</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响应时间</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≤20us</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RS485接口</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触发接口</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≥1路频闪触发输入，≥1路爆闪输入,≥1路红外滤片切换输入</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设计寿命</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≥50000小时</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外壳材质</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压铸铝</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电源</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AC220V±20%，47Hz~63Hz</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功率</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≤60W</w:t>
            </w:r>
          </w:p>
        </w:tc>
      </w:tr>
      <w:tr>
        <w:tc>
          <w:tcPr>
            <w:tcW w:type="dxa" w:w="1940"/>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其他</w:t>
            </w:r>
          </w:p>
        </w:tc>
        <w:tc>
          <w:tcPr>
            <w:tcW w:type="dxa" w:w="636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w:t>
            </w:r>
            <w:r>
              <w:rPr>
                <w:sz w:val="21"/>
              </w:rPr>
              <w:t>符合GA/T 1202-2022《交通技术监控成像补光装置通用技术条件》</w:t>
            </w:r>
            <w:r>
              <w:rPr>
                <w:sz w:val="21"/>
              </w:rPr>
              <w:t>（提供公安部检测机构出具的检测报告复印件证明，注明采购项目名称的水印，并加盖厂商投标专用章或公章）</w:t>
            </w:r>
          </w:p>
        </w:tc>
      </w:tr>
    </w:tbl>
    <w:p>
      <w:pPr>
        <w:pStyle w:val="null3"/>
        <w:spacing w:before="120"/>
        <w:ind w:left="570"/>
        <w:jc w:val="both"/>
        <w:outlineLvl w:val="1"/>
      </w:pPr>
      <w:r>
        <w:rPr>
          <w:sz w:val="21"/>
          <w:b/>
        </w:rPr>
        <w:t>4.6.LED补光灯</w:t>
      </w:r>
    </w:p>
    <w:tbl>
      <w:tblPr>
        <w:tblW w:w="0" w:type="auto"/>
        <w:tblBorders>
          <w:top w:val="none" w:color="000000" w:sz="4"/>
          <w:left w:val="none" w:color="000000" w:sz="4"/>
          <w:bottom w:val="none" w:color="000000" w:sz="4"/>
          <w:right w:val="none" w:color="000000" w:sz="4"/>
          <w:insideH w:val="none"/>
          <w:insideV w:val="none"/>
        </w:tblBorders>
      </w:tblPr>
      <w:tblGrid>
        <w:gridCol w:w="2006"/>
        <w:gridCol w:w="6296"/>
      </w:tblGrid>
      <w:tr>
        <w:tc>
          <w:tcPr>
            <w:tcW w:type="dxa" w:w="2006"/>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项目</w:t>
            </w:r>
          </w:p>
        </w:tc>
        <w:tc>
          <w:tcPr>
            <w:tcW w:type="dxa" w:w="6296"/>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参数描述</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光源类型</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大功率暖光LED</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LED灯珠数量</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≥16颗</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发光角度</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10°</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覆盖范围</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单车道</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最佳补光距离</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至少16米~25米</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触发方式</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电平量触发(可选配开关量触发)</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触发信号电平</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至少4V~6V</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触发频率</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至少15Hz~250Hz</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触发占空比</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至少1%-39%,当占空比大于等于40%时进入自保护状态</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响应时间</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≤20us</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日夜功能</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支持环境亮度监测，低照度下自动开启</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RS485接口</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≥1路</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同步接口</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≥1路频闪触发输入，≥1路抓拍触发输入和≥1路频闪同步输出</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参数配置</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支持内部参数设置,如日夜功能开启阈值,频闪延迟功能</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设计寿命</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≥50000小时</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外壳材质</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压铸铝</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电源</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AC220V±20%，47Hz~63Hz</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功率</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40</w:t>
            </w:r>
            <w:r>
              <w:rPr>
                <w:sz w:val="21"/>
              </w:rPr>
              <w:t>W</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工作温度至少-40℃~+70℃</w:t>
            </w:r>
          </w:p>
          <w:p>
            <w:pPr>
              <w:pStyle w:val="null3"/>
              <w:jc w:val="both"/>
            </w:pPr>
            <w:r>
              <w:rPr>
                <w:sz w:val="21"/>
              </w:rPr>
              <w:t>工作湿度至少10%~90%</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防护等级</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≥IP66</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光栅</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w:t>
            </w:r>
          </w:p>
        </w:tc>
      </w:tr>
      <w:tr>
        <w:tc>
          <w:tcPr>
            <w:tcW w:type="dxa" w:w="2006"/>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安装方式</w:t>
            </w:r>
          </w:p>
        </w:tc>
        <w:tc>
          <w:tcPr>
            <w:tcW w:type="dxa" w:w="629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正装（支架旋转角度-90°~+90°）</w:t>
            </w:r>
          </w:p>
        </w:tc>
      </w:tr>
    </w:tbl>
    <w:p>
      <w:pPr>
        <w:pStyle w:val="null3"/>
        <w:spacing w:before="120"/>
        <w:ind w:left="570"/>
        <w:jc w:val="both"/>
        <w:outlineLvl w:val="1"/>
      </w:pPr>
      <w:r>
        <w:rPr>
          <w:sz w:val="21"/>
          <w:b/>
        </w:rPr>
        <w:t>4.74</w:t>
      </w:r>
      <w:r>
        <w:rPr>
          <w:sz w:val="21"/>
          <w:b/>
        </w:rPr>
        <w:t>00W</w:t>
      </w:r>
      <w:r>
        <w:rPr>
          <w:sz w:val="21"/>
          <w:b/>
        </w:rPr>
        <w:t>枪球一体摄像机</w:t>
      </w:r>
    </w:p>
    <w:tbl>
      <w:tblPr>
        <w:tblW w:w="0" w:type="auto"/>
        <w:tblBorders>
          <w:top w:val="none" w:color="000000" w:sz="4"/>
          <w:left w:val="none" w:color="000000" w:sz="4"/>
          <w:bottom w:val="none" w:color="000000" w:sz="4"/>
          <w:right w:val="none" w:color="000000" w:sz="4"/>
          <w:insideH w:val="none"/>
          <w:insideV w:val="none"/>
        </w:tblBorders>
      </w:tblPr>
      <w:tblGrid>
        <w:gridCol w:w="2005"/>
        <w:gridCol w:w="6299"/>
      </w:tblGrid>
      <w:tr>
        <w:tc>
          <w:tcPr>
            <w:tcW w:type="dxa" w:w="2005"/>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项目</w:t>
            </w:r>
          </w:p>
        </w:tc>
        <w:tc>
          <w:tcPr>
            <w:tcW w:type="dxa" w:w="6299"/>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技术规格要求</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传感器类型</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spacing w:after="120"/>
              <w:jc w:val="both"/>
            </w:pPr>
            <w:r>
              <w:rPr>
                <w:sz w:val="21"/>
              </w:rPr>
              <w:t>全景：≥1/1.</w:t>
            </w:r>
            <w:r>
              <w:rPr>
                <w:sz w:val="21"/>
              </w:rPr>
              <w:t>8</w:t>
            </w:r>
            <w:r>
              <w:rPr>
                <w:sz w:val="21"/>
              </w:rPr>
              <w:t>英寸CMOS，细节：≥1/1.</w:t>
            </w:r>
            <w:r>
              <w:rPr>
                <w:sz w:val="21"/>
              </w:rPr>
              <w:t>8</w:t>
            </w:r>
            <w:r>
              <w:rPr>
                <w:sz w:val="21"/>
              </w:rPr>
              <w:t>英寸CMOS</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像素</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全景：≥400万，细节：≥</w:t>
            </w:r>
            <w:r>
              <w:rPr>
                <w:sz w:val="21"/>
              </w:rPr>
              <w:t>4</w:t>
            </w:r>
            <w:r>
              <w:rPr>
                <w:sz w:val="21"/>
              </w:rPr>
              <w:t>00万</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分辨率</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全景</w:t>
            </w:r>
            <w:r>
              <w:rPr>
                <w:sz w:val="21"/>
              </w:rPr>
              <w:t>：</w:t>
            </w:r>
            <w:r>
              <w:rPr>
                <w:sz w:val="21"/>
              </w:rPr>
              <w:t>≥</w:t>
            </w:r>
            <w:r>
              <w:rPr>
                <w:sz w:val="21"/>
              </w:rPr>
              <w:t>2688</w:t>
            </w:r>
            <w:r>
              <w:rPr>
                <w:sz w:val="21"/>
              </w:rPr>
              <w:t>×</w:t>
            </w:r>
            <w:r>
              <w:rPr>
                <w:sz w:val="21"/>
              </w:rPr>
              <w:t>1520</w:t>
            </w:r>
            <w:r>
              <w:rPr>
                <w:sz w:val="21"/>
              </w:rPr>
              <w:t>，通道2：</w:t>
            </w:r>
            <w:r>
              <w:rPr>
                <w:sz w:val="21"/>
              </w:rPr>
              <w:t>≥</w:t>
            </w:r>
            <w:r>
              <w:rPr>
                <w:sz w:val="21"/>
              </w:rPr>
              <w:t>2688</w:t>
            </w:r>
            <w:r>
              <w:rPr>
                <w:sz w:val="21"/>
              </w:rPr>
              <w:t>×</w:t>
            </w:r>
            <w:r>
              <w:rPr>
                <w:sz w:val="21"/>
              </w:rPr>
              <w:t>1520</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最低照度</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全景</w:t>
            </w:r>
            <w:r>
              <w:rPr>
                <w:sz w:val="21"/>
              </w:rPr>
              <w:t>：</w:t>
            </w:r>
            <w:r>
              <w:rPr>
                <w:sz w:val="21"/>
              </w:rPr>
              <w:t>≤</w:t>
            </w:r>
            <w:r>
              <w:rPr>
                <w:sz w:val="21"/>
              </w:rPr>
              <w:t>0.00</w:t>
            </w:r>
            <w:r>
              <w:rPr>
                <w:sz w:val="21"/>
              </w:rPr>
              <w:t>0</w:t>
            </w:r>
            <w:r>
              <w:rPr>
                <w:sz w:val="21"/>
              </w:rPr>
              <w:t>5Lux（彩色模式）；</w:t>
            </w:r>
            <w:r>
              <w:rPr>
                <w:sz w:val="21"/>
              </w:rPr>
              <w:t>≤</w:t>
            </w:r>
            <w:r>
              <w:rPr>
                <w:sz w:val="21"/>
              </w:rPr>
              <w:t>0.0001Lux（黑白模式）；0Lux（补光灯开启）</w:t>
            </w:r>
            <w:r>
              <w:rPr>
                <w:sz w:val="21"/>
              </w:rPr>
              <w:t>细节</w:t>
            </w:r>
            <w:r>
              <w:rPr>
                <w:sz w:val="21"/>
              </w:rPr>
              <w:t>：</w:t>
            </w:r>
            <w:r>
              <w:rPr>
                <w:sz w:val="21"/>
              </w:rPr>
              <w:t>≤</w:t>
            </w:r>
            <w:r>
              <w:rPr>
                <w:sz w:val="21"/>
              </w:rPr>
              <w:t>0.00</w:t>
            </w:r>
            <w:r>
              <w:rPr>
                <w:sz w:val="21"/>
              </w:rPr>
              <w:t>0</w:t>
            </w:r>
            <w:r>
              <w:rPr>
                <w:sz w:val="21"/>
              </w:rPr>
              <w:t>5Lux（彩色模式）；</w:t>
            </w:r>
            <w:r>
              <w:rPr>
                <w:sz w:val="21"/>
              </w:rPr>
              <w:t>≤</w:t>
            </w:r>
            <w:r>
              <w:rPr>
                <w:sz w:val="21"/>
              </w:rPr>
              <w:t>0.0001Lux（黑白模式）；0Lux（补光灯开启）</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镜头焦距</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全景：定焦；细节：至少5.4mm~135mm</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光学变倍</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细节：</w:t>
            </w:r>
            <w:r>
              <w:rPr>
                <w:sz w:val="21"/>
              </w:rPr>
              <w:t>≥</w:t>
            </w:r>
            <w:r>
              <w:rPr>
                <w:sz w:val="21"/>
              </w:rPr>
              <w:t>25倍</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宽动态</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120dB</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视频压缩标准</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H.264/H.265</w:t>
            </w:r>
            <w:r>
              <w:rPr>
                <w:sz w:val="21"/>
              </w:rPr>
              <w:t>/MJPEG</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旋转范围</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全景：水平范围：至少 0°～360°连续旋转，垂直范围：至少 0°～30° 细节：水平范围：至少 0°～305°垂直范围：至少-10°～180°</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违法停车</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支持违法停车抓拍功能，白天违法停车捕获率、捕获有效率均不小于98%</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卡口抓拍</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left"/>
            </w:pPr>
            <w:r>
              <w:rPr>
                <w:sz w:val="21"/>
              </w:rPr>
              <w:t>支持卡口、压白线、压黄线、逆行、违法变道、车辆排队加塞、有车占道、黄牌占道、不按车道行驶、超速、禁货、欠速、主驾驶员不系安全带等多种行为检测抓拍和交通拥堵检测，并进行车辆特征识别</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遮挡车牌抓拍功</w:t>
            </w:r>
          </w:p>
          <w:p>
            <w:pPr>
              <w:pStyle w:val="null3"/>
              <w:jc w:val="center"/>
            </w:pPr>
            <w:r>
              <w:rPr>
                <w:sz w:val="21"/>
              </w:rPr>
              <w:t>能</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left"/>
            </w:pPr>
            <w:r>
              <w:rPr>
                <w:sz w:val="21"/>
              </w:rPr>
              <w:t>开启遮挡车辆抓拍后，可对车辆车牌进行提前登记或后补，当抓拍近景时车辆被遮挡时，使用提前记录或后补的突破及其所识别的车牌号进行多张图片合成</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设备抓包</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w:t>
            </w:r>
            <w:r>
              <w:rPr>
                <w:sz w:val="21"/>
              </w:rPr>
              <w:t>判断是否有磁盘和录像剩余空间是否不足。支持配置抓包时长、输出路径、网卡类型、IP、端口等，若录像剩余空间不足 50%或者磁盘不存在，弹出提示“当前选中的磁盘空间不足，请先格式化磁盘或调整抓包输出路径”;若录像剩余空间超过 50%，则停止录像功能并输出抓包文件</w:t>
            </w:r>
            <w:r>
              <w:rPr>
                <w:sz w:val="21"/>
              </w:rPr>
              <w:t>（提供公安部检测机构出具的检测报告复印件证明，注明采购项目名称的水印，并加盖厂商投标专用章或公章）</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事件上报</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设备smart 事件上报的抓图支持叠加规则区域和目标框：可配置报警抓图叠加目标信息及规则信息，支持开启及关闭；支持设置告警区域最大可包含整个监控画面；支持设置预览画面是否叠加显示规则区域框及告警提示信息</w:t>
            </w:r>
            <w:r>
              <w:rPr>
                <w:sz w:val="21"/>
              </w:rPr>
              <w:t>（提供公安部检测机构出具的检测报告复印件证明，注明采购项目名称的水印，并加盖厂商投标专用章或公章）</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网络接口</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≥1个RJ-45网口，支持10M/100M网络数据</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接入标准</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GB/T28181;GA/T1400；GB35114-A</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报警接口</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报警输入≥</w:t>
            </w:r>
            <w:r>
              <w:rPr>
                <w:sz w:val="21"/>
              </w:rPr>
              <w:t>2</w:t>
            </w:r>
            <w:r>
              <w:rPr>
                <w:sz w:val="21"/>
              </w:rPr>
              <w:t>路</w:t>
            </w:r>
          </w:p>
          <w:p>
            <w:pPr>
              <w:pStyle w:val="null3"/>
              <w:jc w:val="both"/>
            </w:pPr>
            <w:r>
              <w:rPr>
                <w:sz w:val="21"/>
              </w:rPr>
              <w:t>报警输出≥</w:t>
            </w:r>
            <w:r>
              <w:rPr>
                <w:sz w:val="21"/>
              </w:rPr>
              <w:t>1</w:t>
            </w:r>
            <w:r>
              <w:rPr>
                <w:sz w:val="21"/>
              </w:rPr>
              <w:t>路</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工作环境温度</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至少-</w:t>
            </w:r>
            <w:r>
              <w:rPr>
                <w:sz w:val="21"/>
              </w:rPr>
              <w:t>4</w:t>
            </w:r>
            <w:r>
              <w:rPr>
                <w:sz w:val="21"/>
              </w:rPr>
              <w:t>0℃～+</w:t>
            </w:r>
            <w:r>
              <w:rPr>
                <w:sz w:val="21"/>
              </w:rPr>
              <w:t>65</w:t>
            </w:r>
            <w:r>
              <w:rPr>
                <w:sz w:val="21"/>
              </w:rPr>
              <w:t>℃</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工作环境湿度</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≤9</w:t>
            </w:r>
            <w:r>
              <w:rPr>
                <w:sz w:val="21"/>
              </w:rPr>
              <w:t>5</w:t>
            </w:r>
            <w:r>
              <w:rPr>
                <w:sz w:val="21"/>
              </w:rPr>
              <w:t>%</w:t>
            </w:r>
          </w:p>
        </w:tc>
      </w:tr>
      <w:tr>
        <w:tc>
          <w:tcPr>
            <w:tcW w:type="dxa" w:w="200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防护等级</w:t>
            </w:r>
          </w:p>
        </w:tc>
        <w:tc>
          <w:tcPr>
            <w:tcW w:type="dxa" w:w="629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≥IP6</w:t>
            </w:r>
            <w:r>
              <w:rPr>
                <w:sz w:val="21"/>
              </w:rPr>
              <w:t>7</w:t>
            </w:r>
          </w:p>
        </w:tc>
      </w:tr>
    </w:tbl>
    <w:p>
      <w:pPr>
        <w:pStyle w:val="null3"/>
        <w:spacing w:before="120"/>
        <w:ind w:left="570"/>
        <w:jc w:val="both"/>
        <w:outlineLvl w:val="1"/>
      </w:pPr>
      <w:r>
        <w:rPr>
          <w:sz w:val="21"/>
          <w:b/>
        </w:rPr>
        <w:t>4.8测速雷达设备</w:t>
      </w:r>
    </w:p>
    <w:tbl>
      <w:tblPr>
        <w:tblW w:w="0" w:type="auto"/>
        <w:tblBorders>
          <w:top w:val="none" w:color="000000" w:sz="4"/>
          <w:left w:val="none" w:color="000000" w:sz="4"/>
          <w:bottom w:val="none" w:color="000000" w:sz="4"/>
          <w:right w:val="none" w:color="000000" w:sz="4"/>
          <w:insideH w:val="none"/>
          <w:insideV w:val="none"/>
        </w:tblBorders>
      </w:tblPr>
      <w:tblGrid>
        <w:gridCol w:w="2014"/>
        <w:gridCol w:w="6292"/>
      </w:tblGrid>
      <w:tr>
        <w:tc>
          <w:tcPr>
            <w:tcW w:type="dxa" w:w="2014"/>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项目</w:t>
            </w:r>
          </w:p>
        </w:tc>
        <w:tc>
          <w:tcPr>
            <w:tcW w:type="dxa" w:w="6292"/>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参数描述</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覆盖范围</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检测1车道</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车辆捕获率</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≥99%</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测速误差</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小于100km/h时 (-</w:t>
            </w:r>
            <w:r>
              <w:rPr>
                <w:sz w:val="21"/>
              </w:rPr>
              <w:t>6</w:t>
            </w:r>
            <w:r>
              <w:rPr>
                <w:sz w:val="21"/>
              </w:rPr>
              <w:t>-0)km/h；大于100km/h时(-</w:t>
            </w:r>
            <w:r>
              <w:rPr>
                <w:sz w:val="21"/>
              </w:rPr>
              <w:t>6</w:t>
            </w:r>
            <w:r>
              <w:rPr>
                <w:sz w:val="21"/>
              </w:rPr>
              <w:t>%-0)km/h</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触发一致性</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±0.5m</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测速范围</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20</w:t>
            </w:r>
            <w:r>
              <w:rPr>
                <w:sz w:val="21"/>
              </w:rPr>
              <w:t>km/h~235km/h</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跟踪距离</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15~45m</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定位距离</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18~35m</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安装高度</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5~10m</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车道宽度</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2.75~5m可调</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通信接口</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≥1路半双工RS485或WIFI</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天线波束</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≥3dB</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微波发射功率</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&lt;20dBm</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工作中心频率</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频率范围24.15GH±0.5GH</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雷达制式</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天线收发结构</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功耗</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≤3.5W</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工作温度</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-35℃~</w:t>
            </w:r>
            <w:r>
              <w:rPr>
                <w:sz w:val="21"/>
              </w:rPr>
              <w:t>80</w:t>
            </w:r>
            <w:r>
              <w:rPr>
                <w:sz w:val="21"/>
              </w:rPr>
              <w:t>℃，工作湿度：0-95%RH</w:t>
            </w:r>
          </w:p>
        </w:tc>
      </w:tr>
      <w:tr>
        <w:tc>
          <w:tcPr>
            <w:tcW w:type="dxa" w:w="201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30"/>
              <w:jc w:val="center"/>
            </w:pPr>
            <w:r>
              <w:rPr>
                <w:sz w:val="21"/>
              </w:rPr>
              <w:t>防护等级</w:t>
            </w:r>
          </w:p>
        </w:tc>
        <w:tc>
          <w:tcPr>
            <w:tcW w:type="dxa" w:w="629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w:t>
            </w:r>
            <w:r>
              <w:rPr>
                <w:sz w:val="21"/>
              </w:rPr>
              <w:t>IP66</w:t>
            </w:r>
          </w:p>
        </w:tc>
      </w:tr>
    </w:tbl>
    <w:p>
      <w:pPr>
        <w:pStyle w:val="null3"/>
        <w:spacing w:before="120"/>
        <w:ind w:left="570"/>
        <w:jc w:val="both"/>
        <w:outlineLvl w:val="1"/>
      </w:pPr>
      <w:r>
        <w:rPr>
          <w:sz w:val="21"/>
          <w:b/>
        </w:rPr>
        <w:t>4.9红绿灯信号检测器</w:t>
      </w:r>
    </w:p>
    <w:tbl>
      <w:tblPr>
        <w:tblW w:w="0" w:type="auto"/>
        <w:tblBorders>
          <w:top w:val="none" w:color="000000" w:sz="4"/>
          <w:left w:val="none" w:color="000000" w:sz="4"/>
          <w:bottom w:val="none" w:color="000000" w:sz="4"/>
          <w:right w:val="none" w:color="000000" w:sz="4"/>
          <w:insideH w:val="none"/>
          <w:insideV w:val="none"/>
        </w:tblBorders>
      </w:tblPr>
      <w:tblGrid>
        <w:gridCol w:w="1929"/>
        <w:gridCol w:w="6376"/>
      </w:tblGrid>
      <w:tr>
        <w:tc>
          <w:tcPr>
            <w:tcW w:type="dxa" w:w="1929"/>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项目</w:t>
            </w:r>
          </w:p>
        </w:tc>
        <w:tc>
          <w:tcPr>
            <w:tcW w:type="dxa" w:w="6376"/>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参数描述</w:t>
            </w:r>
          </w:p>
        </w:tc>
      </w:tr>
      <w:tr>
        <w:tc>
          <w:tcPr>
            <w:tcW w:type="dxa" w:w="192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信号灯交流信号输入接口</w:t>
            </w:r>
          </w:p>
        </w:tc>
        <w:tc>
          <w:tcPr>
            <w:tcW w:type="dxa" w:w="637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≥16路</w:t>
            </w:r>
          </w:p>
        </w:tc>
      </w:tr>
      <w:tr>
        <w:tc>
          <w:tcPr>
            <w:tcW w:type="dxa" w:w="192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RS485输出接口</w:t>
            </w:r>
          </w:p>
        </w:tc>
        <w:tc>
          <w:tcPr>
            <w:tcW w:type="dxa" w:w="637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≥6个</w:t>
            </w:r>
          </w:p>
        </w:tc>
      </w:tr>
      <w:tr>
        <w:tc>
          <w:tcPr>
            <w:tcW w:type="dxa" w:w="192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DC输出接口</w:t>
            </w:r>
          </w:p>
        </w:tc>
        <w:tc>
          <w:tcPr>
            <w:tcW w:type="dxa" w:w="637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≥1个5V DC输出接口</w:t>
            </w:r>
          </w:p>
        </w:tc>
      </w:tr>
      <w:tr>
        <w:tc>
          <w:tcPr>
            <w:tcW w:type="dxa" w:w="192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拨码开关</w:t>
            </w:r>
          </w:p>
        </w:tc>
        <w:tc>
          <w:tcPr>
            <w:tcW w:type="dxa" w:w="637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≥5路，用来设置波特率、地址和上传模式</w:t>
            </w:r>
          </w:p>
        </w:tc>
      </w:tr>
      <w:tr>
        <w:tc>
          <w:tcPr>
            <w:tcW w:type="dxa" w:w="192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交通灯状态指示灯</w:t>
            </w:r>
          </w:p>
        </w:tc>
        <w:tc>
          <w:tcPr>
            <w:tcW w:type="dxa" w:w="637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≥16路</w:t>
            </w:r>
          </w:p>
        </w:tc>
      </w:tr>
      <w:tr>
        <w:tc>
          <w:tcPr>
            <w:tcW w:type="dxa" w:w="192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检测电压范围</w:t>
            </w:r>
          </w:p>
        </w:tc>
        <w:tc>
          <w:tcPr>
            <w:tcW w:type="dxa" w:w="637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140VAC～270VAC，50Hz/60Hz</w:t>
            </w:r>
          </w:p>
        </w:tc>
      </w:tr>
      <w:tr>
        <w:tc>
          <w:tcPr>
            <w:tcW w:type="dxa" w:w="192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工作电压</w:t>
            </w:r>
          </w:p>
        </w:tc>
        <w:tc>
          <w:tcPr>
            <w:tcW w:type="dxa" w:w="637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220VAC@50Hz/60Hz，100VAC～240VAC能够正常工作</w:t>
            </w:r>
          </w:p>
        </w:tc>
      </w:tr>
      <w:tr>
        <w:tc>
          <w:tcPr>
            <w:tcW w:type="dxa" w:w="192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功耗</w:t>
            </w:r>
          </w:p>
        </w:tc>
        <w:tc>
          <w:tcPr>
            <w:tcW w:type="dxa" w:w="637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≤5W</w:t>
            </w:r>
          </w:p>
        </w:tc>
      </w:tr>
      <w:tr>
        <w:tc>
          <w:tcPr>
            <w:tcW w:type="dxa" w:w="192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工作环境温度</w:t>
            </w:r>
          </w:p>
        </w:tc>
        <w:tc>
          <w:tcPr>
            <w:tcW w:type="dxa" w:w="637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-30℃～+70℃</w:t>
            </w:r>
          </w:p>
        </w:tc>
      </w:tr>
      <w:tr>
        <w:tc>
          <w:tcPr>
            <w:tcW w:type="dxa" w:w="192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工作环境湿度</w:t>
            </w:r>
          </w:p>
        </w:tc>
        <w:tc>
          <w:tcPr>
            <w:tcW w:type="dxa" w:w="6376"/>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5%~95%@40</w:t>
            </w:r>
            <w:r>
              <w:rPr>
                <w:sz w:val="21"/>
              </w:rPr>
              <w:t>℃</w:t>
            </w:r>
            <w:r>
              <w:rPr>
                <w:sz w:val="21"/>
              </w:rPr>
              <w:t>，无凝结</w:t>
            </w:r>
          </w:p>
        </w:tc>
      </w:tr>
    </w:tbl>
    <w:p>
      <w:pPr>
        <w:pStyle w:val="null3"/>
        <w:spacing w:before="120"/>
        <w:ind w:left="570"/>
        <w:jc w:val="both"/>
        <w:outlineLvl w:val="1"/>
      </w:pPr>
      <w:r>
        <w:rPr>
          <w:sz w:val="21"/>
          <w:b/>
        </w:rPr>
        <w:t>4.10.前端管理主机</w:t>
      </w:r>
    </w:p>
    <w:tbl>
      <w:tblPr>
        <w:tblW w:w="0" w:type="auto"/>
        <w:tblBorders>
          <w:top w:val="none" w:color="000000" w:sz="4"/>
          <w:left w:val="none" w:color="000000" w:sz="4"/>
          <w:bottom w:val="none" w:color="000000" w:sz="4"/>
          <w:right w:val="none" w:color="000000" w:sz="4"/>
          <w:insideH w:val="none"/>
          <w:insideV w:val="none"/>
        </w:tblBorders>
      </w:tblPr>
      <w:tblGrid>
        <w:gridCol w:w="1955"/>
        <w:gridCol w:w="6349"/>
      </w:tblGrid>
      <w:tr>
        <w:tc>
          <w:tcPr>
            <w:tcW w:type="dxa" w:w="1955"/>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项目</w:t>
            </w:r>
          </w:p>
        </w:tc>
        <w:tc>
          <w:tcPr>
            <w:tcW w:type="dxa" w:w="6349"/>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参数描述</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处理器</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性能不低于</w:t>
            </w:r>
            <w:r>
              <w:rPr>
                <w:sz w:val="21"/>
              </w:rPr>
              <w:t>ARM</w:t>
            </w:r>
            <w:r>
              <w:rPr>
                <w:sz w:val="21"/>
              </w:rPr>
              <w:t>四核数字媒体处理器</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接入路数</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w:t>
            </w:r>
            <w:r>
              <w:rPr>
                <w:sz w:val="21"/>
              </w:rPr>
              <w:t>2</w:t>
            </w:r>
            <w:r>
              <w:rPr>
                <w:sz w:val="21"/>
              </w:rPr>
              <w:t>路</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操作系统</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嵌入式</w:t>
            </w:r>
            <w:r>
              <w:rPr>
                <w:sz w:val="21"/>
              </w:rPr>
              <w:t>Linux</w:t>
            </w:r>
            <w:r>
              <w:rPr>
                <w:sz w:val="21"/>
              </w:rPr>
              <w:t>操作系统</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操作界面</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WEB</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内存</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w:t>
            </w:r>
            <w:r>
              <w:rPr>
                <w:sz w:val="21"/>
              </w:rPr>
              <w:t>GB</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硬盘存储</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4</w:t>
            </w:r>
            <w:r>
              <w:rPr>
                <w:sz w:val="21"/>
              </w:rPr>
              <w:t>个</w:t>
            </w:r>
            <w:r>
              <w:rPr>
                <w:sz w:val="21"/>
              </w:rPr>
              <w:t>SATA</w:t>
            </w:r>
            <w:r>
              <w:rPr>
                <w:sz w:val="21"/>
              </w:rPr>
              <w:t>接口，单</w:t>
            </w:r>
            <w:r>
              <w:rPr>
                <w:sz w:val="21"/>
              </w:rPr>
              <w:t>SATA</w:t>
            </w:r>
            <w:r>
              <w:rPr>
                <w:sz w:val="21"/>
              </w:rPr>
              <w:t>接口可支持最大6</w:t>
            </w:r>
            <w:r>
              <w:rPr>
                <w:sz w:val="21"/>
              </w:rPr>
              <w:t>TB</w:t>
            </w:r>
            <w:r>
              <w:rPr>
                <w:sz w:val="21"/>
              </w:rPr>
              <w:t>容量硬盘，标配</w:t>
            </w:r>
            <w:r>
              <w:rPr>
                <w:sz w:val="21"/>
              </w:rPr>
              <w:t>≥</w:t>
            </w:r>
            <w:r>
              <w:rPr>
                <w:sz w:val="21"/>
              </w:rPr>
              <w:t>1个</w:t>
            </w:r>
            <w:r>
              <w:rPr>
                <w:sz w:val="21"/>
              </w:rPr>
              <w:t>≥</w:t>
            </w:r>
            <w:r>
              <w:rPr>
                <w:sz w:val="21"/>
              </w:rPr>
              <w:t>4T硬盘</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RESET</w:t>
            </w:r>
            <w:r>
              <w:rPr>
                <w:sz w:val="21"/>
              </w:rPr>
              <w:t>按钮</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w:t>
            </w:r>
            <w:r>
              <w:rPr>
                <w:sz w:val="21"/>
              </w:rPr>
              <w:t>个重置复位按键</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指示灯</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电源</w:t>
            </w:r>
            <w:r>
              <w:rPr>
                <w:sz w:val="21"/>
              </w:rPr>
              <w:t>/</w:t>
            </w:r>
            <w:r>
              <w:rPr>
                <w:sz w:val="21"/>
              </w:rPr>
              <w:t>报警</w:t>
            </w:r>
            <w:r>
              <w:rPr>
                <w:sz w:val="21"/>
              </w:rPr>
              <w:t>/</w:t>
            </w:r>
            <w:r>
              <w:rPr>
                <w:sz w:val="21"/>
              </w:rPr>
              <w:t>硬盘</w:t>
            </w:r>
            <w:r>
              <w:rPr>
                <w:sz w:val="21"/>
              </w:rPr>
              <w:t>/</w:t>
            </w:r>
            <w:r>
              <w:rPr>
                <w:sz w:val="21"/>
              </w:rPr>
              <w:t>就绪，≥4个状态指示灯</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测速配置</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支持配置路段名称、路段编号、路段距离，能够对驶入驶出该路段的车辆抓拍数据匹配并计算车辆的区间速度值；支持设置过滤阈值，对异常测速结果进行过滤；支持超速检测和欠速检测，可分别设定高限速和低限速值</w:t>
            </w:r>
            <w:r>
              <w:rPr>
                <w:sz w:val="21"/>
              </w:rPr>
              <w:t>（提供公安部检测机构出具的检测报告复印件证明，注明采购项目名称的水印，并加盖厂商投标专用章或公章）</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音频检测</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▲可接入G.711a、G.711Mu、G.722.1、G.726、G.729、PCM、AAC、MPEG2-layer2音频编码格式的IPC；可将音频采样率设置为8kHz、16kHz、32kHz、48kHz、64kHz（提供公安部检测机构出具的检测报告复印件证明，注明</w:t>
            </w:r>
            <w:r>
              <w:rPr>
                <w:sz w:val="21"/>
              </w:rPr>
              <w:t>采购</w:t>
            </w:r>
            <w:r>
              <w:rPr>
                <w:sz w:val="21"/>
              </w:rPr>
              <w:t>项目名称的水印，并加盖厂商投标专用章或公章）</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网络接口</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16</w:t>
            </w:r>
            <w:r>
              <w:rPr>
                <w:sz w:val="21"/>
              </w:rPr>
              <w:t>个</w:t>
            </w:r>
            <w:r>
              <w:rPr>
                <w:sz w:val="21"/>
              </w:rPr>
              <w:t>1000M</w:t>
            </w:r>
            <w:r>
              <w:rPr>
                <w:sz w:val="21"/>
              </w:rPr>
              <w:t>以太网接口，</w:t>
            </w:r>
            <w:r>
              <w:rPr>
                <w:sz w:val="21"/>
              </w:rPr>
              <w:t>1</w:t>
            </w:r>
            <w:r>
              <w:rPr>
                <w:sz w:val="21"/>
              </w:rPr>
              <w:t>个内部和</w:t>
            </w:r>
            <w:r>
              <w:rPr>
                <w:sz w:val="21"/>
              </w:rPr>
              <w:t>1</w:t>
            </w:r>
            <w:r>
              <w:rPr>
                <w:sz w:val="21"/>
              </w:rPr>
              <w:t>个外部</w:t>
            </w:r>
            <w:r>
              <w:rPr>
                <w:sz w:val="21"/>
              </w:rPr>
              <w:t>10/100/1000M</w:t>
            </w:r>
            <w:r>
              <w:rPr>
                <w:sz w:val="21"/>
              </w:rPr>
              <w:t>自适应以太网接口，1个内部和</w:t>
            </w:r>
            <w:r>
              <w:rPr>
                <w:sz w:val="21"/>
              </w:rPr>
              <w:t>1</w:t>
            </w:r>
            <w:r>
              <w:rPr>
                <w:sz w:val="21"/>
              </w:rPr>
              <w:t>个</w:t>
            </w:r>
            <w:r>
              <w:rPr>
                <w:sz w:val="21"/>
              </w:rPr>
              <w:t>外部</w:t>
            </w:r>
            <w:r>
              <w:rPr>
                <w:sz w:val="21"/>
              </w:rPr>
              <w:t>千兆</w:t>
            </w:r>
            <w:r>
              <w:rPr>
                <w:sz w:val="21"/>
              </w:rPr>
              <w:t>可</w:t>
            </w:r>
            <w:r>
              <w:rPr>
                <w:sz w:val="21"/>
              </w:rPr>
              <w:t>光电</w:t>
            </w:r>
            <w:r>
              <w:rPr>
                <w:sz w:val="21"/>
              </w:rPr>
              <w:t>切换光纤接口</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RS232</w:t>
            </w:r>
            <w:r>
              <w:rPr>
                <w:sz w:val="21"/>
              </w:rPr>
              <w:t>接口</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2</w:t>
            </w:r>
            <w:r>
              <w:rPr>
                <w:sz w:val="21"/>
              </w:rPr>
              <w:t>个</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RS485</w:t>
            </w:r>
            <w:r>
              <w:rPr>
                <w:sz w:val="21"/>
              </w:rPr>
              <w:t>接口</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2</w:t>
            </w:r>
            <w:r>
              <w:rPr>
                <w:sz w:val="21"/>
              </w:rPr>
              <w:t>个</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USB</w:t>
            </w:r>
            <w:r>
              <w:rPr>
                <w:sz w:val="21"/>
              </w:rPr>
              <w:t>接口</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1</w:t>
            </w:r>
            <w:r>
              <w:rPr>
                <w:sz w:val="21"/>
              </w:rPr>
              <w:t>个</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数据存储</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支持对通行车辆的信息（记录和图片）存储</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视频录像</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支持录像存储功能，存储时长根据设定的码流大小和配置的硬盘容量确定</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上传</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支持交通数据断点续传和手动重传功能</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交通流数据采集</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支持存储采集到的车流量信息,可对全部卡口或单个卡口按天或按小时实时统计过车流量,并能够按照时间、通道、车道等条件查询,支持柱状图、折线图、表格形式展示,可将数据上传至平台</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图片关联</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将原始图片、特写图片、合成图片、车牌抠图、关联录像、主驾驶人脸图片、副驾驶人脸图片、行人人脸图片、非机动车人脸图片上传至FTP服务器（提供公安部检测机构出具的检测报告复印件证明，注明采购项目名称的水印，并加盖厂商投标专用章或公章）</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文件保护</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设备内的录像、图片文件无法直接删除或者修改，只能通过循环覆盖和硬盘格式化操作</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测速检测</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设置最大速度阈值，控制最大显示速度；支持开启速度控制，设置安全速度阈值、告警速度阈值、超速速度阈值及对应的字体颜色，按速度区段区分显示字体颜色；支持仅超速显示车速、卡口合成上传、违法合成上传、无牌车上传、警牌上传、车牌隐私保护等多种个性发布方式；支持按图片类型区分设置显示内容和字体颜色、是否启用语音播报及播报内容，支持的图片类型有超速、违法变道、违法停车、预违停、违法倒车、逆行、卡口、未礼让行人、闯红灯、不按导向箭头行驶、车辆拥堵禁入、压白线、机占非、占用应急车道、右转不礼让行人、大弯小转、禁货等（提供公安部检测机构出具的检测报告复印件证明，注明</w:t>
            </w:r>
            <w:r>
              <w:rPr>
                <w:sz w:val="21"/>
              </w:rPr>
              <w:t>采购</w:t>
            </w:r>
            <w:r>
              <w:rPr>
                <w:sz w:val="21"/>
              </w:rPr>
              <w:t>项目名称的水印，并加盖厂商投标专用章或公章）</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电源</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DC12V/12.5A</w:t>
            </w:r>
            <w:r>
              <w:rPr>
                <w:sz w:val="21"/>
              </w:rPr>
              <w:t>适配器</w:t>
            </w:r>
          </w:p>
        </w:tc>
      </w:tr>
      <w:tr>
        <w:tc>
          <w:tcPr>
            <w:tcW w:type="dxa" w:w="195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工作环境</w:t>
            </w:r>
          </w:p>
        </w:tc>
        <w:tc>
          <w:tcPr>
            <w:tcW w:type="dxa" w:w="634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工作温度至少</w:t>
            </w:r>
            <w:r>
              <w:rPr>
                <w:sz w:val="21"/>
              </w:rPr>
              <w:t>-</w:t>
            </w:r>
            <w:r>
              <w:rPr>
                <w:sz w:val="21"/>
              </w:rPr>
              <w:t>4</w:t>
            </w:r>
            <w:r>
              <w:rPr>
                <w:sz w:val="21"/>
              </w:rPr>
              <w:t>0</w:t>
            </w:r>
            <w:r>
              <w:rPr>
                <w:sz w:val="21"/>
              </w:rPr>
              <w:t>℃～</w:t>
            </w:r>
            <w:r>
              <w:rPr>
                <w:sz w:val="21"/>
              </w:rPr>
              <w:t>70</w:t>
            </w:r>
            <w:r>
              <w:rPr>
                <w:sz w:val="21"/>
              </w:rPr>
              <w:t>℃</w:t>
            </w:r>
          </w:p>
          <w:p>
            <w:pPr>
              <w:pStyle w:val="null3"/>
              <w:jc w:val="both"/>
            </w:pPr>
            <w:r>
              <w:rPr>
                <w:sz w:val="21"/>
              </w:rPr>
              <w:t>工作湿度至少</w:t>
            </w:r>
            <w:r>
              <w:rPr>
                <w:sz w:val="21"/>
              </w:rPr>
              <w:t>10%</w:t>
            </w:r>
            <w:r>
              <w:rPr>
                <w:sz w:val="21"/>
              </w:rPr>
              <w:t>～</w:t>
            </w:r>
            <w:r>
              <w:rPr>
                <w:sz w:val="21"/>
              </w:rPr>
              <w:t>90%</w:t>
            </w:r>
          </w:p>
        </w:tc>
      </w:tr>
    </w:tbl>
    <w:p>
      <w:pPr>
        <w:pStyle w:val="null3"/>
        <w:spacing w:before="120"/>
        <w:ind w:left="570"/>
        <w:jc w:val="both"/>
        <w:outlineLvl w:val="1"/>
      </w:pPr>
      <w:r>
        <w:rPr>
          <w:sz w:val="21"/>
          <w:b/>
        </w:rPr>
        <w:t>4.11.抱杆机箱</w:t>
      </w:r>
    </w:p>
    <w:p>
      <w:pPr>
        <w:pStyle w:val="null3"/>
        <w:ind w:firstLine="420"/>
        <w:jc w:val="both"/>
      </w:pPr>
      <w:r>
        <w:rPr>
          <w:sz w:val="21"/>
        </w:rPr>
        <w:t>结构要求：</w:t>
      </w:r>
    </w:p>
    <w:tbl>
      <w:tblPr>
        <w:tblW w:w="0" w:type="auto"/>
        <w:tblBorders>
          <w:top w:val="none" w:color="000000" w:sz="4"/>
          <w:left w:val="none" w:color="000000" w:sz="4"/>
          <w:bottom w:val="none" w:color="000000" w:sz="4"/>
          <w:right w:val="none" w:color="000000" w:sz="4"/>
          <w:insideH w:val="none"/>
          <w:insideV w:val="none"/>
        </w:tblBorders>
      </w:tblPr>
      <w:tblGrid>
        <w:gridCol w:w="2018"/>
        <w:gridCol w:w="6286"/>
      </w:tblGrid>
      <w:tr>
        <w:tc>
          <w:tcPr>
            <w:tcW w:type="dxa" w:w="2018"/>
            <w:tcBorders>
              <w:top w:val="single" w:color="000000" w:sz="4"/>
              <w:left w:val="single" w:color="000000" w:sz="4"/>
              <w:bottom w:val="single" w:color="000000" w:sz="4"/>
              <w:right w:val="single" w:color="000000" w:sz="4"/>
            </w:tcBorders>
            <w:shd w:fill="D9D9D9"/>
            <w:tcMar>
              <w:top w:type="dxa" w:w="0"/>
              <w:left w:type="dxa" w:w="105"/>
              <w:bottom w:type="dxa" w:w="0"/>
              <w:right w:type="dxa" w:w="105"/>
            </w:tcMar>
            <w:vAlign w:val="top"/>
          </w:tcPr>
          <w:p>
            <w:pPr>
              <w:pStyle w:val="null3"/>
              <w:spacing w:before="75"/>
              <w:jc w:val="center"/>
            </w:pPr>
            <w:r>
              <w:rPr>
                <w:sz w:val="21"/>
                <w:b/>
              </w:rPr>
              <w:t>项目</w:t>
            </w:r>
          </w:p>
        </w:tc>
        <w:tc>
          <w:tcPr>
            <w:tcW w:type="dxa" w:w="6286"/>
            <w:tcBorders>
              <w:top w:val="single" w:color="000000" w:sz="4"/>
              <w:left w:val="none" w:color="000000" w:sz="4"/>
              <w:bottom w:val="single" w:color="000000" w:sz="4"/>
              <w:right w:val="single" w:color="000000" w:sz="4"/>
            </w:tcBorders>
            <w:shd w:fill="D9D9D9"/>
            <w:tcMar>
              <w:top w:type="dxa" w:w="0"/>
              <w:left w:type="dxa" w:w="105"/>
              <w:bottom w:type="dxa" w:w="0"/>
              <w:right w:type="dxa" w:w="105"/>
            </w:tcMar>
            <w:vAlign w:val="top"/>
          </w:tcPr>
          <w:p>
            <w:pPr>
              <w:pStyle w:val="null3"/>
              <w:spacing w:before="75"/>
              <w:jc w:val="center"/>
            </w:pPr>
            <w:r>
              <w:rPr>
                <w:sz w:val="21"/>
                <w:b/>
              </w:rPr>
              <w:t>参数描述</w:t>
            </w:r>
          </w:p>
        </w:tc>
      </w:tr>
      <w:tr>
        <w:tc>
          <w:tcPr>
            <w:tcW w:type="dxa" w:w="2018"/>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材料要求</w:t>
            </w: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监控箱所有结构件采用高强度镀锌板，箱体及门板材料厚度≥1.5mm，抱箍（或壁挂套件）材料厚度≥2.0mm，其它材料厚度不少于1.2mm。</w:t>
            </w:r>
          </w:p>
        </w:tc>
      </w:tr>
      <w:tr>
        <w:tc>
          <w:tcPr>
            <w:tcW w:type="dxa" w:w="2018"/>
            <w:vMerge/>
            <w:tcBorders>
              <w:top w:val="none" w:color="000000" w:sz="4"/>
              <w:left w:val="single" w:color="000000" w:sz="4"/>
              <w:bottom w:val="single" w:color="000000" w:sz="4"/>
              <w:right w:val="single" w:color="000000" w:sz="4"/>
            </w:tcBorders>
          </w:tcP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独立末级接地系统采用纯紫铜材料制作，截面积不少于50mm2 。</w:t>
            </w:r>
          </w:p>
        </w:tc>
      </w:tr>
      <w:tr>
        <w:tc>
          <w:tcPr>
            <w:tcW w:type="dxa" w:w="2018"/>
            <w:vMerge/>
            <w:tcBorders>
              <w:top w:val="none" w:color="000000" w:sz="4"/>
              <w:left w:val="single" w:color="000000" w:sz="4"/>
              <w:bottom w:val="single" w:color="000000" w:sz="4"/>
              <w:right w:val="single" w:color="000000" w:sz="4"/>
            </w:tcBorders>
          </w:tcP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监控箱及其附属部件、涂覆层、标志、饰物等均应采用难燃或不燃材料。</w:t>
            </w:r>
          </w:p>
        </w:tc>
      </w:tr>
      <w:tr>
        <w:tc>
          <w:tcPr>
            <w:tcW w:type="dxa" w:w="2018"/>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表面处理要求</w:t>
            </w: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金属件前处理均采用热磷化处理，表面采用环保型防静电涂层，涂料应满足户外使用环境要求。</w:t>
            </w:r>
          </w:p>
        </w:tc>
      </w:tr>
      <w:tr>
        <w:tc>
          <w:tcPr>
            <w:tcW w:type="dxa" w:w="2018"/>
            <w:vMerge/>
            <w:tcBorders>
              <w:top w:val="none" w:color="000000" w:sz="4"/>
              <w:left w:val="single" w:color="000000" w:sz="4"/>
              <w:bottom w:val="single" w:color="000000" w:sz="4"/>
              <w:right w:val="single" w:color="000000" w:sz="4"/>
            </w:tcBorders>
          </w:tcP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表面喷塑厚度达到65-90µm，表面喷塑硬度应大于2H。</w:t>
            </w:r>
          </w:p>
        </w:tc>
      </w:tr>
      <w:tr>
        <w:tc>
          <w:tcPr>
            <w:tcW w:type="dxa" w:w="2018"/>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结构要求</w:t>
            </w: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箱内尺寸（不含防雨帽）：≥420(宽)*610(高)*280(深)mm</w:t>
            </w:r>
          </w:p>
        </w:tc>
      </w:tr>
      <w:tr>
        <w:tc>
          <w:tcPr>
            <w:tcW w:type="dxa" w:w="2018"/>
            <w:vMerge/>
            <w:tcBorders>
              <w:top w:val="none" w:color="000000" w:sz="4"/>
              <w:left w:val="single" w:color="000000" w:sz="4"/>
              <w:bottom w:val="single" w:color="000000" w:sz="4"/>
              <w:right w:val="single" w:color="000000" w:sz="4"/>
            </w:tcBorders>
          </w:tcP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隔板承载负荷大于15公斤。</w:t>
            </w:r>
          </w:p>
          <w:p>
            <w:pPr>
              <w:pStyle w:val="null3"/>
              <w:jc w:val="both"/>
            </w:pPr>
            <w:r>
              <w:rPr>
                <w:sz w:val="21"/>
              </w:rPr>
              <w:t>监控箱总负荷大于50公斤。</w:t>
            </w:r>
          </w:p>
        </w:tc>
      </w:tr>
      <w:tr>
        <w:tc>
          <w:tcPr>
            <w:tcW w:type="dxa" w:w="2018"/>
            <w:vMerge/>
            <w:tcBorders>
              <w:top w:val="none" w:color="000000" w:sz="4"/>
              <w:left w:val="single" w:color="000000" w:sz="4"/>
              <w:bottom w:val="single" w:color="000000" w:sz="4"/>
              <w:right w:val="single" w:color="000000" w:sz="4"/>
            </w:tcBorders>
          </w:tcP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监控箱配置≥</w:t>
            </w:r>
            <w:r>
              <w:rPr>
                <w:sz w:val="21"/>
              </w:rPr>
              <w:t>2</w:t>
            </w:r>
            <w:r>
              <w:rPr>
                <w:sz w:val="21"/>
              </w:rPr>
              <w:t>块隔板分</w:t>
            </w:r>
            <w:r>
              <w:rPr>
                <w:sz w:val="21"/>
              </w:rPr>
              <w:t>三</w:t>
            </w:r>
            <w:r>
              <w:rPr>
                <w:sz w:val="21"/>
              </w:rPr>
              <w:t>层设计，隔板应可根据设备安装的需求灵活上、下调节，同时设计散热孔。</w:t>
            </w:r>
          </w:p>
        </w:tc>
      </w:tr>
      <w:tr>
        <w:tc>
          <w:tcPr>
            <w:tcW w:type="dxa" w:w="2018"/>
            <w:vMerge/>
            <w:tcBorders>
              <w:top w:val="none" w:color="000000" w:sz="4"/>
              <w:left w:val="single" w:color="000000" w:sz="4"/>
              <w:bottom w:val="single" w:color="000000" w:sz="4"/>
              <w:right w:val="single" w:color="000000" w:sz="4"/>
            </w:tcBorders>
          </w:tcP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监控箱下进线方式，应匹配立杆合理设计走线孔，孔径应满足走线需求。监控箱两侧合理设计理线环，</w:t>
            </w:r>
          </w:p>
        </w:tc>
      </w:tr>
      <w:tr>
        <w:tc>
          <w:tcPr>
            <w:tcW w:type="dxa" w:w="2018"/>
            <w:vMerge/>
            <w:tcBorders>
              <w:top w:val="none" w:color="000000" w:sz="4"/>
              <w:left w:val="single" w:color="000000" w:sz="4"/>
              <w:bottom w:val="single" w:color="000000" w:sz="4"/>
              <w:right w:val="single" w:color="000000" w:sz="4"/>
            </w:tcBorders>
          </w:tcP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前门单扇门开启，内侧设计密封橡胶条，令前门与箱体无缝配合，应满足≥IP54防护标准。</w:t>
            </w:r>
          </w:p>
        </w:tc>
      </w:tr>
      <w:tr>
        <w:tc>
          <w:tcPr>
            <w:tcW w:type="dxa" w:w="2018"/>
            <w:vMerge/>
            <w:tcBorders>
              <w:top w:val="none" w:color="000000" w:sz="4"/>
              <w:left w:val="single" w:color="000000" w:sz="4"/>
              <w:bottom w:val="single" w:color="000000" w:sz="4"/>
              <w:right w:val="single" w:color="000000" w:sz="4"/>
            </w:tcBorders>
          </w:tcP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设备顶部具有圆弧形防雨帽，四边圆弧形，U形主体机壳，无棱角；柜门与机箱采用四杆风勾机构，设有限位装置，箱门打开后可自动限位，防止柜门转动回位；箱体内部预置可移动托板；雨帽具有圆形散热通风口，孔径≥2.5mm，底部具进线孔。</w:t>
            </w:r>
          </w:p>
        </w:tc>
      </w:tr>
      <w:tr>
        <w:tc>
          <w:tcPr>
            <w:tcW w:type="dxa" w:w="2018"/>
            <w:vMerge/>
            <w:tcBorders>
              <w:top w:val="none" w:color="000000" w:sz="4"/>
              <w:left w:val="single" w:color="000000" w:sz="4"/>
              <w:bottom w:val="single" w:color="000000" w:sz="4"/>
              <w:right w:val="single" w:color="000000" w:sz="4"/>
            </w:tcBorders>
          </w:tcP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工作环境：工作温度范围-55℃～+85℃，工作电压范围AC60V～AC280V（50Hz±5Hz/60Hz±5Hz），外壳防护等级≥IP55，机械碰撞防护等级≥IK08，盐雾测试≥120小时，泄漏电流应不大于5mA(a.c.峰值)，绝缘电阻不小于2MΩ。</w:t>
            </w:r>
          </w:p>
        </w:tc>
      </w:tr>
      <w:tr>
        <w:tc>
          <w:tcPr>
            <w:tcW w:type="dxa" w:w="2018"/>
            <w:vMerge/>
            <w:tcBorders>
              <w:top w:val="none" w:color="000000" w:sz="4"/>
              <w:left w:val="single" w:color="000000" w:sz="4"/>
              <w:bottom w:val="single" w:color="000000" w:sz="4"/>
              <w:right w:val="single" w:color="000000" w:sz="4"/>
            </w:tcBorders>
          </w:tcP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门锁要求：锁具的抗破坏性能应符合GA/T 73-1994中的B级要求。</w:t>
            </w:r>
          </w:p>
        </w:tc>
      </w:tr>
      <w:tr>
        <w:tc>
          <w:tcPr>
            <w:tcW w:type="dxa" w:w="2018"/>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散热要求</w:t>
            </w: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原则上采用自然散热方式，箱体两侧设计散热页窗，内侧安装免工具拆卸防尘网，要求为可清洗反复使用环保型材料，应符合IP54防护标准。</w:t>
            </w:r>
          </w:p>
        </w:tc>
      </w:tr>
      <w:tr>
        <w:tc>
          <w:tcPr>
            <w:tcW w:type="dxa" w:w="2018"/>
            <w:vMerge/>
            <w:tcBorders>
              <w:top w:val="none" w:color="000000" w:sz="4"/>
              <w:left w:val="single" w:color="000000" w:sz="4"/>
              <w:bottom w:val="single" w:color="000000" w:sz="4"/>
              <w:right w:val="single" w:color="000000" w:sz="4"/>
            </w:tcBorders>
          </w:tcP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预设强排散热风扇，交流220V供电，智能温度感应系统控制工作模式。箱体内温度：夏季≤45℃，冬季≤27℃</w:t>
            </w:r>
          </w:p>
        </w:tc>
      </w:tr>
      <w:tr>
        <w:tc>
          <w:tcPr>
            <w:tcW w:type="dxa" w:w="201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防护等级要求</w:t>
            </w: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防护等级要求≥IP55</w:t>
            </w:r>
          </w:p>
        </w:tc>
      </w:tr>
      <w:tr>
        <w:tc>
          <w:tcPr>
            <w:tcW w:type="dxa" w:w="201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附属配置</w:t>
            </w:r>
          </w:p>
        </w:tc>
        <w:tc>
          <w:tcPr>
            <w:tcW w:type="dxa" w:w="628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抱箍组件≥1套或壁挂组件≥1套</w:t>
            </w:r>
          </w:p>
        </w:tc>
      </w:tr>
    </w:tbl>
    <w:p>
      <w:pPr>
        <w:pStyle w:val="null3"/>
        <w:ind w:firstLine="420"/>
        <w:jc w:val="both"/>
      </w:pPr>
      <w:r>
        <w:rPr>
          <w:sz w:val="21"/>
        </w:rPr>
        <w:t>功能要求：</w:t>
      </w:r>
    </w:p>
    <w:tbl>
      <w:tblPr>
        <w:tblW w:w="0" w:type="auto"/>
        <w:tblBorders>
          <w:top w:val="none" w:color="000000" w:sz="4"/>
          <w:left w:val="none" w:color="000000" w:sz="4"/>
          <w:bottom w:val="none" w:color="000000" w:sz="4"/>
          <w:right w:val="none" w:color="000000" w:sz="4"/>
          <w:insideH w:val="none"/>
          <w:insideV w:val="none"/>
        </w:tblBorders>
      </w:tblPr>
      <w:tblGrid>
        <w:gridCol w:w="2017"/>
        <w:gridCol w:w="6289"/>
      </w:tblGrid>
      <w:tr>
        <w:tc>
          <w:tcPr>
            <w:tcW w:type="dxa" w:w="2017"/>
            <w:tcBorders>
              <w:top w:val="single" w:color="000000" w:sz="4"/>
              <w:left w:val="single" w:color="000000" w:sz="4"/>
              <w:bottom w:val="single" w:color="000000" w:sz="4"/>
              <w:right w:val="single" w:color="000000" w:sz="4"/>
            </w:tcBorders>
            <w:shd w:fill="D9D9D9"/>
            <w:tcMar>
              <w:top w:type="dxa" w:w="0"/>
              <w:left w:type="dxa" w:w="105"/>
              <w:bottom w:type="dxa" w:w="0"/>
              <w:right w:type="dxa" w:w="105"/>
            </w:tcMar>
            <w:vAlign w:val="top"/>
          </w:tcPr>
          <w:p>
            <w:pPr>
              <w:pStyle w:val="null3"/>
              <w:spacing w:before="75"/>
              <w:jc w:val="center"/>
            </w:pPr>
            <w:r>
              <w:rPr>
                <w:sz w:val="21"/>
                <w:b/>
              </w:rPr>
              <w:t>项目</w:t>
            </w:r>
          </w:p>
        </w:tc>
        <w:tc>
          <w:tcPr>
            <w:tcW w:type="dxa" w:w="6289"/>
            <w:tcBorders>
              <w:top w:val="single" w:color="000000" w:sz="4"/>
              <w:left w:val="none" w:color="000000" w:sz="4"/>
              <w:bottom w:val="single" w:color="000000" w:sz="4"/>
              <w:right w:val="single" w:color="000000" w:sz="4"/>
            </w:tcBorders>
            <w:shd w:fill="D9D9D9"/>
            <w:tcMar>
              <w:top w:type="dxa" w:w="0"/>
              <w:left w:type="dxa" w:w="105"/>
              <w:bottom w:type="dxa" w:w="0"/>
              <w:right w:type="dxa" w:w="105"/>
            </w:tcMar>
            <w:vAlign w:val="top"/>
          </w:tcPr>
          <w:p>
            <w:pPr>
              <w:pStyle w:val="null3"/>
              <w:spacing w:before="75"/>
              <w:jc w:val="center"/>
            </w:pPr>
            <w:r>
              <w:rPr>
                <w:sz w:val="21"/>
                <w:b/>
              </w:rPr>
              <w:t>参数描述</w:t>
            </w:r>
          </w:p>
        </w:tc>
      </w:tr>
      <w:tr>
        <w:tc>
          <w:tcPr>
            <w:tcW w:type="dxa" w:w="20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自动重合闸</w:t>
            </w:r>
          </w:p>
        </w:tc>
        <w:tc>
          <w:tcPr>
            <w:tcW w:type="dxa" w:w="62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配≥1个32A自动重合闸，支持自动合闸功能，具有过压、欠压、过流、短路、漏电保护，支持远程合闸和开闸；支持远程查询合闸信息。</w:t>
            </w:r>
          </w:p>
          <w:p>
            <w:pPr>
              <w:pStyle w:val="null3"/>
              <w:jc w:val="both"/>
            </w:pPr>
            <w:r>
              <w:rPr>
                <w:sz w:val="21"/>
              </w:rPr>
              <w:t>配≥1个2P 63A空开、≥1个2P 32A空开。</w:t>
            </w:r>
          </w:p>
        </w:tc>
      </w:tr>
      <w:tr>
        <w:tc>
          <w:tcPr>
            <w:tcW w:type="dxa" w:w="20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物联网智能控制单元</w:t>
            </w:r>
          </w:p>
        </w:tc>
        <w:tc>
          <w:tcPr>
            <w:tcW w:type="dxa" w:w="62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网络防雷、电源防雷器、物联网智能控制单元、配电单元、光纤盘、后备电源模块、风扇，箱内单元采用导轨式安装、接线方便，每个单元均可独立更换。</w:t>
            </w:r>
          </w:p>
          <w:p>
            <w:pPr>
              <w:pStyle w:val="null3"/>
              <w:jc w:val="both"/>
            </w:pPr>
            <w:r>
              <w:rPr>
                <w:sz w:val="21"/>
              </w:rPr>
              <w:t>提供≥5路交流220V远程可控</w:t>
            </w:r>
            <w:r>
              <w:rPr>
                <w:sz w:val="21"/>
              </w:rPr>
              <w:t>独立空开</w:t>
            </w:r>
            <w:r>
              <w:rPr>
                <w:sz w:val="21"/>
              </w:rPr>
              <w:t>输出，≥3路12V远程可控</w:t>
            </w:r>
            <w:r>
              <w:rPr>
                <w:sz w:val="21"/>
              </w:rPr>
              <w:t>独立空开</w:t>
            </w:r>
            <w:r>
              <w:rPr>
                <w:sz w:val="21"/>
              </w:rPr>
              <w:t>输出，≥2路干节点输入，≥1路RS232通信接口，≥1路RS485通信接口，支持防雷失效检测功能。</w:t>
            </w:r>
          </w:p>
          <w:p>
            <w:pPr>
              <w:pStyle w:val="null3"/>
              <w:jc w:val="both"/>
            </w:pPr>
            <w:r>
              <w:rPr>
                <w:sz w:val="21"/>
              </w:rPr>
              <w:t>支持供电电压、电流、功率检测，可通过客户端显示；当供电断开时，在客户端上提示供电异常告警。</w:t>
            </w:r>
          </w:p>
          <w:p>
            <w:pPr>
              <w:pStyle w:val="null3"/>
              <w:jc w:val="both"/>
            </w:pPr>
            <w:r>
              <w:rPr>
                <w:sz w:val="21"/>
              </w:rPr>
              <w:t>交流输出接口具有定时控制、远程控制、联动控制功能，可远程设定工作模式。</w:t>
            </w:r>
          </w:p>
          <w:p>
            <w:pPr>
              <w:pStyle w:val="null3"/>
              <w:jc w:val="both"/>
            </w:pPr>
            <w:r>
              <w:rPr>
                <w:sz w:val="21"/>
              </w:rPr>
              <w:t>支持供电电压、电流、功率检测，可通过客户端显示；当供电断开时，在客户端上提示供电异常告警。</w:t>
            </w:r>
          </w:p>
          <w:p>
            <w:pPr>
              <w:pStyle w:val="null3"/>
              <w:jc w:val="both"/>
            </w:pPr>
            <w:r>
              <w:rPr>
                <w:sz w:val="21"/>
              </w:rPr>
              <w:t>可通过软件显示摄像机工作状态并设置摄像机定时/手动开启，当接入的摄像机断电或网络断开时，可通过客户端软件给出报警最大可支持6路摄像机状态监测。</w:t>
            </w:r>
          </w:p>
          <w:p>
            <w:pPr>
              <w:pStyle w:val="null3"/>
              <w:jc w:val="both"/>
            </w:pPr>
            <w:r>
              <w:rPr>
                <w:sz w:val="21"/>
              </w:rPr>
              <w:t>可通过客户端软件显示网络传输设备工作状态并设置网络传输设备定时/手动重启，单接入的网络传输设备网络断开时，可进行自动重启。</w:t>
            </w:r>
          </w:p>
          <w:p>
            <w:pPr>
              <w:pStyle w:val="null3"/>
              <w:jc w:val="both"/>
            </w:pPr>
            <w:r>
              <w:rPr>
                <w:sz w:val="21"/>
              </w:rPr>
              <w:t>可通过客户端显示补光灯工作状态并设置定时/手动开启。</w:t>
            </w:r>
          </w:p>
          <w:p>
            <w:pPr>
              <w:pStyle w:val="null3"/>
              <w:jc w:val="both"/>
            </w:pPr>
            <w:r>
              <w:rPr>
                <w:sz w:val="21"/>
              </w:rPr>
              <w:t>能够区分补光灯白天异常亮起或晚上无法开启。</w:t>
            </w:r>
          </w:p>
          <w:p>
            <w:pPr>
              <w:pStyle w:val="null3"/>
              <w:jc w:val="both"/>
            </w:pPr>
            <w:r>
              <w:rPr>
                <w:sz w:val="21"/>
              </w:rPr>
              <w:t>支持温度检测、风扇状态检测、开关控制功能、柜门状态检测、自动布防和临时撤防。</w:t>
            </w:r>
          </w:p>
          <w:p>
            <w:pPr>
              <w:pStyle w:val="null3"/>
              <w:jc w:val="both"/>
            </w:pPr>
            <w:r>
              <w:rPr>
                <w:sz w:val="21"/>
              </w:rPr>
              <w:t>具有非法取电告警功能，支持设定接入功率阈值，在当前设备的功率基础上接入其他设备的功率超过阈值时，客户端提示非法取电告警。</w:t>
            </w:r>
          </w:p>
          <w:p>
            <w:pPr>
              <w:pStyle w:val="null3"/>
              <w:jc w:val="both"/>
            </w:pPr>
            <w:r>
              <w:rPr>
                <w:sz w:val="21"/>
              </w:rPr>
              <w:t>支持802.1x设置，可设置验证用户密码。</w:t>
            </w:r>
          </w:p>
          <w:p>
            <w:pPr>
              <w:pStyle w:val="null3"/>
              <w:jc w:val="left"/>
            </w:pPr>
            <w:r>
              <w:rPr>
                <w:sz w:val="21"/>
                <w:b/>
              </w:rPr>
              <w:t>智能一体化设备故障告警信息按市局接口接入市局视频智能运维管理系统或统一运维平台。</w:t>
            </w:r>
          </w:p>
        </w:tc>
      </w:tr>
      <w:tr>
        <w:tc>
          <w:tcPr>
            <w:tcW w:type="dxa" w:w="20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通信单元</w:t>
            </w:r>
          </w:p>
        </w:tc>
        <w:tc>
          <w:tcPr>
            <w:tcW w:type="dxa" w:w="62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支持通过无线数据传输，数据传输模式支持无线模式、有线模式、有线无线自动切换模式、无线备用模式；有线和无线方式支持不同端口、不同服务IP传输。</w:t>
            </w:r>
          </w:p>
        </w:tc>
      </w:tr>
      <w:tr>
        <w:tc>
          <w:tcPr>
            <w:tcW w:type="dxa" w:w="20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定位单元</w:t>
            </w:r>
          </w:p>
        </w:tc>
        <w:tc>
          <w:tcPr>
            <w:tcW w:type="dxa" w:w="62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内置北斗/GPS自动定位，支持自动获取经纬度，自动在平台地图上标识位置信息。</w:t>
            </w:r>
          </w:p>
        </w:tc>
      </w:tr>
      <w:tr>
        <w:tc>
          <w:tcPr>
            <w:tcW w:type="dxa" w:w="20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告警单元</w:t>
            </w:r>
          </w:p>
        </w:tc>
        <w:tc>
          <w:tcPr>
            <w:tcW w:type="dxa" w:w="62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当受到震动、倾斜、撞击时，客户端提示震动告警。</w:t>
            </w:r>
          </w:p>
        </w:tc>
      </w:tr>
      <w:tr>
        <w:tc>
          <w:tcPr>
            <w:tcW w:type="dxa" w:w="20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后备电源模块</w:t>
            </w:r>
          </w:p>
        </w:tc>
        <w:tc>
          <w:tcPr>
            <w:tcW w:type="dxa" w:w="62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应包含后端电池，在市电断电的情况下对智能设备机箱的状态信息回传至</w:t>
            </w:r>
            <w:r>
              <w:rPr>
                <w:sz w:val="21"/>
              </w:rPr>
              <w:t>智能机箱运维管理平台或统一运维平台</w:t>
            </w:r>
            <w:r>
              <w:rPr>
                <w:sz w:val="21"/>
              </w:rPr>
              <w:t>。</w:t>
            </w:r>
          </w:p>
        </w:tc>
      </w:tr>
      <w:tr>
        <w:tc>
          <w:tcPr>
            <w:tcW w:type="dxa" w:w="201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工业级交换机</w:t>
            </w:r>
          </w:p>
        </w:tc>
        <w:tc>
          <w:tcPr>
            <w:tcW w:type="dxa" w:w="62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内置工业级交换机，支持≥8路10M/100M/1000M电口，≥2路SFP光口。</w:t>
            </w:r>
          </w:p>
          <w:p>
            <w:pPr>
              <w:pStyle w:val="null3"/>
              <w:jc w:val="both"/>
            </w:pPr>
            <w:r>
              <w:rPr>
                <w:sz w:val="21"/>
              </w:rPr>
              <w:t>支持网管功能，可远程显示端口流量统计、端口link状态、连接设备的MAC地址。</w:t>
            </w:r>
          </w:p>
          <w:p>
            <w:pPr>
              <w:pStyle w:val="null3"/>
              <w:jc w:val="both"/>
            </w:pPr>
            <w:r>
              <w:rPr>
                <w:sz w:val="21"/>
              </w:rPr>
              <w:t>具备IP复用功能，可以使用同一个IP地址控制设备以及管理准入功能。</w:t>
            </w:r>
          </w:p>
          <w:p>
            <w:pPr>
              <w:pStyle w:val="null3"/>
              <w:jc w:val="both"/>
            </w:pPr>
            <w:r>
              <w:rPr>
                <w:sz w:val="21"/>
              </w:rPr>
              <w:t>可批量设定、启用关闭准入控制；</w:t>
            </w:r>
          </w:p>
          <w:p>
            <w:pPr>
              <w:pStyle w:val="null3"/>
              <w:jc w:val="both"/>
            </w:pPr>
            <w:r>
              <w:rPr>
                <w:sz w:val="21"/>
              </w:rPr>
              <w:t>可远程显示端口流量统计、端口连接状态；</w:t>
            </w:r>
          </w:p>
          <w:p>
            <w:pPr>
              <w:pStyle w:val="null3"/>
              <w:jc w:val="both"/>
            </w:pPr>
            <w:r>
              <w:rPr>
                <w:sz w:val="21"/>
              </w:rPr>
              <w:t>可设置设备MAC地址白名单；</w:t>
            </w:r>
          </w:p>
          <w:p>
            <w:pPr>
              <w:pStyle w:val="null3"/>
              <w:jc w:val="both"/>
            </w:pPr>
            <w:r>
              <w:rPr>
                <w:sz w:val="21"/>
              </w:rPr>
              <w:t>支持白名单以外设备接入告警，告警信息包含设备MAC地址和端口号；</w:t>
            </w:r>
          </w:p>
          <w:p>
            <w:pPr>
              <w:pStyle w:val="null3"/>
              <w:jc w:val="both"/>
            </w:pPr>
            <w:r>
              <w:rPr>
                <w:sz w:val="21"/>
              </w:rPr>
              <w:t>支持接入设备信息自动上报客户端，可手动/自动阻断或放行设备通讯。</w:t>
            </w:r>
          </w:p>
        </w:tc>
      </w:tr>
    </w:tbl>
    <w:p>
      <w:pPr>
        <w:pStyle w:val="null3"/>
        <w:spacing w:before="120"/>
        <w:ind w:left="570"/>
        <w:jc w:val="both"/>
        <w:outlineLvl w:val="1"/>
      </w:pPr>
      <w:r>
        <w:rPr>
          <w:sz w:val="21"/>
          <w:b/>
        </w:rPr>
        <w:t>4.12.落地机柜</w:t>
      </w:r>
    </w:p>
    <w:p>
      <w:pPr>
        <w:pStyle w:val="null3"/>
        <w:ind w:firstLine="420"/>
        <w:jc w:val="both"/>
      </w:pPr>
      <w:r>
        <w:rPr>
          <w:sz w:val="21"/>
        </w:rPr>
        <w:t>结构要求：</w:t>
      </w:r>
    </w:p>
    <w:tbl>
      <w:tblPr>
        <w:tblW w:w="0" w:type="auto"/>
        <w:tblBorders>
          <w:top w:val="none" w:color="000000" w:sz="4"/>
          <w:left w:val="none" w:color="000000" w:sz="4"/>
          <w:bottom w:val="none" w:color="000000" w:sz="4"/>
          <w:right w:val="none" w:color="000000" w:sz="4"/>
          <w:insideH w:val="none"/>
          <w:insideV w:val="none"/>
        </w:tblBorders>
      </w:tblPr>
      <w:tblGrid>
        <w:gridCol w:w="2086"/>
        <w:gridCol w:w="6218"/>
      </w:tblGrid>
      <w:tr>
        <w:tc>
          <w:tcPr>
            <w:tcW w:type="dxa" w:w="2086"/>
            <w:tcBorders>
              <w:top w:val="single" w:color="000000" w:sz="4"/>
              <w:left w:val="single" w:color="000000" w:sz="4"/>
              <w:bottom w:val="single" w:color="000000" w:sz="4"/>
              <w:right w:val="single" w:color="000000" w:sz="4"/>
            </w:tcBorders>
            <w:shd w:fill="D9D9D9"/>
            <w:tcMar>
              <w:top w:type="dxa" w:w="0"/>
              <w:left w:type="dxa" w:w="105"/>
              <w:bottom w:type="dxa" w:w="0"/>
              <w:right w:type="dxa" w:w="105"/>
            </w:tcMar>
            <w:vAlign w:val="top"/>
          </w:tcPr>
          <w:p>
            <w:pPr>
              <w:pStyle w:val="null3"/>
              <w:spacing w:before="75"/>
              <w:jc w:val="center"/>
            </w:pPr>
            <w:r>
              <w:rPr>
                <w:sz w:val="21"/>
                <w:b/>
              </w:rPr>
              <w:t>项目</w:t>
            </w:r>
          </w:p>
        </w:tc>
        <w:tc>
          <w:tcPr>
            <w:tcW w:type="dxa" w:w="6218"/>
            <w:tcBorders>
              <w:top w:val="single" w:color="000000" w:sz="4"/>
              <w:left w:val="none" w:color="000000" w:sz="4"/>
              <w:bottom w:val="single" w:color="000000" w:sz="4"/>
              <w:right w:val="single" w:color="000000" w:sz="4"/>
            </w:tcBorders>
            <w:shd w:fill="D9D9D9"/>
            <w:tcMar>
              <w:top w:type="dxa" w:w="0"/>
              <w:left w:type="dxa" w:w="105"/>
              <w:bottom w:type="dxa" w:w="0"/>
              <w:right w:type="dxa" w:w="105"/>
            </w:tcMar>
            <w:vAlign w:val="top"/>
          </w:tcPr>
          <w:p>
            <w:pPr>
              <w:pStyle w:val="null3"/>
              <w:spacing w:before="75"/>
              <w:jc w:val="center"/>
            </w:pPr>
            <w:r>
              <w:rPr>
                <w:sz w:val="21"/>
                <w:b/>
              </w:rPr>
              <w:t>参数描述</w:t>
            </w:r>
          </w:p>
        </w:tc>
      </w:tr>
      <w:tr>
        <w:tc>
          <w:tcPr>
            <w:tcW w:type="dxa" w:w="2086"/>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材料要求</w:t>
            </w: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监控箱所有结构件采用高强度镀锌板，箱体及门板材料厚度≥1.5mm，其它材料厚度不少于1.2mm。</w:t>
            </w:r>
          </w:p>
        </w:tc>
      </w:tr>
      <w:tr>
        <w:tc>
          <w:tcPr>
            <w:tcW w:type="dxa" w:w="2086"/>
            <w:vMerge/>
            <w:tcBorders>
              <w:top w:val="none" w:color="000000" w:sz="4"/>
              <w:left w:val="single" w:color="000000" w:sz="4"/>
              <w:bottom w:val="single" w:color="000000" w:sz="4"/>
              <w:right w:val="single" w:color="000000" w:sz="4"/>
            </w:tcBorders>
          </w:tcP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机柜为双层结构，两层之间安装隔热材料，实现设备机柜与外部环境的热平衡。</w:t>
            </w:r>
          </w:p>
        </w:tc>
      </w:tr>
      <w:tr>
        <w:tc>
          <w:tcPr>
            <w:tcW w:type="dxa" w:w="20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表面处理要求</w:t>
            </w: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设备机箱表面经过考漆处理，具备较强的防锈蚀、防盐雾、防霉菌能力。</w:t>
            </w:r>
          </w:p>
        </w:tc>
      </w:tr>
      <w:tr>
        <w:tc>
          <w:tcPr>
            <w:tcW w:type="dxa" w:w="2086"/>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结构要求</w:t>
            </w: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监落地机柜需适合户外环境使用，具备防雨、防尘、通风散热、抗紫外线（耐老化）、防盗、防锈；箱体具有明显标识，表明设备箱用途及箱体编号；箱体大小应根据配套设备的数量和尺寸来设计，箱体尺寸（不含底座）：≥600(宽)*1200(高)*600(深)mm。</w:t>
            </w:r>
          </w:p>
        </w:tc>
      </w:tr>
      <w:tr>
        <w:tc>
          <w:tcPr>
            <w:tcW w:type="dxa" w:w="2086"/>
            <w:vMerge/>
            <w:tcBorders>
              <w:top w:val="none" w:color="000000" w:sz="4"/>
              <w:left w:val="single" w:color="000000" w:sz="4"/>
              <w:bottom w:val="single" w:color="000000" w:sz="4"/>
              <w:right w:val="single" w:color="000000" w:sz="4"/>
            </w:tcBorders>
          </w:tcP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机柜结构设计能使设备具有足够的机械强度，能承受正常条件下可预料到的运输、安装、搬运、维护等过程中的操作。</w:t>
            </w:r>
          </w:p>
        </w:tc>
      </w:tr>
      <w:tr>
        <w:tc>
          <w:tcPr>
            <w:tcW w:type="dxa" w:w="2086"/>
            <w:vMerge/>
            <w:tcBorders>
              <w:top w:val="none" w:color="000000" w:sz="4"/>
              <w:left w:val="single" w:color="000000" w:sz="4"/>
              <w:bottom w:val="single" w:color="000000" w:sz="4"/>
              <w:right w:val="single" w:color="000000" w:sz="4"/>
            </w:tcBorders>
          </w:tcP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机箱门的尺寸接近机柜外部尺寸，机箱门的最大开启角度大于120°。机箱门设有牢固的门锁以防止被非法打开；门锁采取了特殊保护措施。机柜门接缝处有耐久且有弹性的密封垫，密封垫连续设置，无间断接口。机柜门锁上后，无松动、变形现象。</w:t>
            </w:r>
          </w:p>
        </w:tc>
      </w:tr>
      <w:tr>
        <w:tc>
          <w:tcPr>
            <w:tcW w:type="dxa" w:w="2086"/>
            <w:vMerge/>
            <w:tcBorders>
              <w:top w:val="none" w:color="000000" w:sz="4"/>
              <w:left w:val="single" w:color="000000" w:sz="4"/>
              <w:bottom w:val="single" w:color="000000" w:sz="4"/>
              <w:right w:val="single" w:color="000000" w:sz="4"/>
            </w:tcBorders>
          </w:tcP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机柜结构设计能防雨并能降低灰尘及有害物质的侵入，机箱门盖有溢水槽，机箱门内侧配备密封条；机柜的设计能防止机箱顶部积水。</w:t>
            </w:r>
          </w:p>
        </w:tc>
      </w:tr>
      <w:tr>
        <w:tc>
          <w:tcPr>
            <w:tcW w:type="dxa" w:w="2086"/>
            <w:vMerge/>
            <w:tcBorders>
              <w:top w:val="none" w:color="000000" w:sz="4"/>
              <w:left w:val="single" w:color="000000" w:sz="4"/>
              <w:bottom w:val="single" w:color="000000" w:sz="4"/>
              <w:right w:val="single" w:color="000000" w:sz="4"/>
            </w:tcBorders>
          </w:tcP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机箱门锁采用保险柜天地锁式的结构设计，门锁至少可对上、下及左右侧中的一侧进行缩栓式保护，具备较强的设备防砸、防盗能力。</w:t>
            </w:r>
          </w:p>
        </w:tc>
      </w:tr>
      <w:tr>
        <w:tc>
          <w:tcPr>
            <w:tcW w:type="dxa" w:w="2086"/>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散热要求</w:t>
            </w: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机柜内部空间足够大，有利于机箱内各设备单元的散热、安装、使用和维修，同时系统设计提供设备辅助散热、加热措施，提高系统环境适应能力。</w:t>
            </w:r>
          </w:p>
        </w:tc>
      </w:tr>
      <w:tr>
        <w:tc>
          <w:tcPr>
            <w:tcW w:type="dxa" w:w="2086"/>
            <w:vMerge/>
            <w:tcBorders>
              <w:top w:val="none" w:color="000000" w:sz="4"/>
              <w:left w:val="single" w:color="000000" w:sz="4"/>
              <w:bottom w:val="single" w:color="000000" w:sz="4"/>
              <w:right w:val="single" w:color="000000" w:sz="4"/>
            </w:tcBorders>
          </w:tcP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预设强排散热风扇，交流220V供电，智能温度感应系统控制工作模式。箱体内温度：夏季≤45℃，冬季≤27℃。</w:t>
            </w:r>
          </w:p>
        </w:tc>
      </w:tr>
      <w:tr>
        <w:tc>
          <w:tcPr>
            <w:tcW w:type="dxa" w:w="20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防护等级</w:t>
            </w: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≥IP</w:t>
            </w:r>
            <w:r>
              <w:rPr>
                <w:sz w:val="21"/>
              </w:rPr>
              <w:t>55</w:t>
            </w:r>
            <w:r>
              <w:rPr>
                <w:sz w:val="21"/>
              </w:rPr>
              <w:t>。</w:t>
            </w:r>
          </w:p>
        </w:tc>
      </w:tr>
      <w:tr>
        <w:tc>
          <w:tcPr>
            <w:tcW w:type="dxa" w:w="20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75"/>
              <w:jc w:val="center"/>
            </w:pPr>
            <w:r>
              <w:rPr>
                <w:sz w:val="21"/>
              </w:rPr>
              <w:t>附属配置</w:t>
            </w:r>
          </w:p>
        </w:tc>
        <w:tc>
          <w:tcPr>
            <w:tcW w:type="dxa" w:w="621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before="75"/>
              <w:jc w:val="left"/>
            </w:pPr>
            <w:r>
              <w:rPr>
                <w:sz w:val="21"/>
              </w:rPr>
              <w:t>抱箍组件≥1套或壁挂组件≥1套。</w:t>
            </w:r>
          </w:p>
        </w:tc>
      </w:tr>
    </w:tbl>
    <w:p>
      <w:pPr>
        <w:pStyle w:val="null3"/>
        <w:ind w:firstLine="420"/>
        <w:jc w:val="both"/>
      </w:pPr>
      <w:r>
        <w:rPr>
          <w:sz w:val="21"/>
        </w:rPr>
        <w:t>功能要求：</w:t>
      </w:r>
    </w:p>
    <w:tbl>
      <w:tblPr>
        <w:tblW w:w="0" w:type="auto"/>
        <w:tblBorders>
          <w:top w:val="none" w:color="000000" w:sz="4"/>
          <w:left w:val="none" w:color="000000" w:sz="4"/>
          <w:bottom w:val="none" w:color="000000" w:sz="4"/>
          <w:right w:val="none" w:color="000000" w:sz="4"/>
          <w:insideH w:val="none"/>
          <w:insideV w:val="none"/>
        </w:tblBorders>
      </w:tblPr>
      <w:tblGrid>
        <w:gridCol w:w="2035"/>
        <w:gridCol w:w="6271"/>
      </w:tblGrid>
      <w:tr>
        <w:tc>
          <w:tcPr>
            <w:tcW w:type="dxa" w:w="2035"/>
            <w:tcBorders>
              <w:top w:val="single" w:color="000000" w:sz="4"/>
              <w:left w:val="single" w:color="000000" w:sz="4"/>
              <w:bottom w:val="single" w:color="000000" w:sz="4"/>
              <w:right w:val="single" w:color="000000" w:sz="4"/>
            </w:tcBorders>
            <w:shd w:fill="BEBEBE"/>
            <w:tcMar>
              <w:top w:type="dxa" w:w="0"/>
              <w:left w:type="dxa" w:w="105"/>
              <w:bottom w:type="dxa" w:w="0"/>
              <w:right w:type="dxa" w:w="105"/>
            </w:tcMar>
            <w:vAlign w:val="top"/>
          </w:tcPr>
          <w:p>
            <w:pPr>
              <w:pStyle w:val="null3"/>
              <w:jc w:val="center"/>
            </w:pPr>
            <w:r>
              <w:rPr>
                <w:sz w:val="21"/>
                <w:b/>
              </w:rPr>
              <w:t>功能项</w:t>
            </w:r>
          </w:p>
        </w:tc>
        <w:tc>
          <w:tcPr>
            <w:tcW w:type="dxa" w:w="6271"/>
            <w:tcBorders>
              <w:top w:val="single" w:color="000000" w:sz="4"/>
              <w:left w:val="none" w:color="000000" w:sz="4"/>
              <w:bottom w:val="single" w:color="000000" w:sz="4"/>
              <w:right w:val="single" w:color="000000" w:sz="4"/>
            </w:tcBorders>
            <w:shd w:fill="BEBEBE"/>
            <w:tcMar>
              <w:top w:type="dxa" w:w="0"/>
              <w:left w:type="dxa" w:w="105"/>
              <w:bottom w:type="dxa" w:w="0"/>
              <w:right w:type="dxa" w:w="105"/>
            </w:tcMar>
            <w:vAlign w:val="top"/>
          </w:tcPr>
          <w:p>
            <w:pPr>
              <w:pStyle w:val="null3"/>
              <w:jc w:val="center"/>
            </w:pPr>
            <w:r>
              <w:rPr>
                <w:sz w:val="21"/>
                <w:b/>
              </w:rPr>
              <w:t>功能描述</w:t>
            </w:r>
          </w:p>
        </w:tc>
      </w:tr>
      <w:tr>
        <w:tc>
          <w:tcPr>
            <w:tcW w:type="dxa" w:w="203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自动重合闸及空气开关</w:t>
            </w:r>
          </w:p>
        </w:tc>
        <w:tc>
          <w:tcPr>
            <w:tcW w:type="dxa" w:w="6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配≥1个63A自动重合闸，支持自动合闸功能，具有过压、欠压、过流、短路、漏电保护，支持远程合闸和开闸；支持远程查询合闸信息。</w:t>
            </w:r>
          </w:p>
          <w:p>
            <w:pPr>
              <w:pStyle w:val="null3"/>
              <w:jc w:val="both"/>
            </w:pPr>
            <w:r>
              <w:rPr>
                <w:sz w:val="21"/>
              </w:rPr>
              <w:t>配≥1个2P 63A空开、≥1个2P 32A空开。</w:t>
            </w:r>
          </w:p>
        </w:tc>
      </w:tr>
      <w:tr>
        <w:tc>
          <w:tcPr>
            <w:tcW w:type="dxa" w:w="203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物联网智能控制单元</w:t>
            </w:r>
          </w:p>
        </w:tc>
        <w:tc>
          <w:tcPr>
            <w:tcW w:type="dxa" w:w="6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箱体内部包含自动重合闸、</w:t>
            </w:r>
            <w:r>
              <w:rPr>
                <w:sz w:val="21"/>
              </w:rPr>
              <w:t>≥</w:t>
            </w:r>
            <w:r>
              <w:rPr>
                <w:sz w:val="21"/>
              </w:rPr>
              <w:t>20KA电源防雷器、物联网智能控制单元、≥1个2位5孔插排、≥2个5位5孔插排、光纤盘、后备电源模块、风扇，箱内单元采用导轨式安装、接线方便，每个单元均可独立更换。</w:t>
            </w:r>
          </w:p>
          <w:p>
            <w:pPr>
              <w:pStyle w:val="null3"/>
              <w:jc w:val="both"/>
            </w:pPr>
            <w:r>
              <w:rPr>
                <w:sz w:val="21"/>
              </w:rPr>
              <w:t>提供≥5路交流220V远程可控输出，≥3路12V远程可控输出，≥2路干节点输入，≥1路RS232通信接口，≥1路RS485通信接口，支持防雷失效检测功能。</w:t>
            </w:r>
          </w:p>
          <w:p>
            <w:pPr>
              <w:pStyle w:val="null3"/>
              <w:jc w:val="both"/>
            </w:pPr>
            <w:r>
              <w:rPr>
                <w:sz w:val="21"/>
              </w:rPr>
              <w:t>交流输出接口具有定时控制、远程控制、联动控制功能；可远程设定工作模式。</w:t>
            </w:r>
          </w:p>
          <w:p>
            <w:pPr>
              <w:pStyle w:val="null3"/>
              <w:jc w:val="both"/>
            </w:pPr>
            <w:r>
              <w:rPr>
                <w:sz w:val="21"/>
              </w:rPr>
              <w:t>可通过软件显示摄像机工作状态并设置摄像机定时/手动开启，当接入的摄像机断电或网络断开时，可通过客户端软件给出报警。</w:t>
            </w:r>
          </w:p>
          <w:p>
            <w:pPr>
              <w:pStyle w:val="null3"/>
              <w:jc w:val="both"/>
            </w:pPr>
            <w:r>
              <w:rPr>
                <w:sz w:val="21"/>
              </w:rPr>
              <w:t>可通过客户端软件显示网络传输设备工作状态并设置网络传输设备定时/手动重启，单接入的网络传输设备网络断开时，可进行自动重启。</w:t>
            </w:r>
          </w:p>
          <w:p>
            <w:pPr>
              <w:pStyle w:val="null3"/>
              <w:jc w:val="both"/>
            </w:pPr>
            <w:r>
              <w:rPr>
                <w:sz w:val="21"/>
              </w:rPr>
              <w:t>可通过软件显示补光灯工作状态并设置补光灯定时/手动开启，当补光灯状态异常时，可通过客户端软件给出报警提示。</w:t>
            </w:r>
          </w:p>
          <w:p>
            <w:pPr>
              <w:pStyle w:val="null3"/>
              <w:jc w:val="both"/>
            </w:pPr>
            <w:r>
              <w:rPr>
                <w:sz w:val="21"/>
              </w:rPr>
              <w:t>支持温度检测、风扇状态检测、开关控制功能、柜门状态检测、自动布防和临时撤防。</w:t>
            </w:r>
          </w:p>
          <w:p>
            <w:pPr>
              <w:pStyle w:val="null3"/>
              <w:jc w:val="both"/>
            </w:pPr>
            <w:r>
              <w:rPr>
                <w:sz w:val="21"/>
              </w:rPr>
              <w:t>支持无中心平台情况下通过IP地址直接访问；支持在WEB上直接查看实时数据，配置IP地址、中心平台地址、传输模式；支持通过TFTP进行远程固件升级。</w:t>
            </w:r>
          </w:p>
          <w:p>
            <w:pPr>
              <w:pStyle w:val="null3"/>
              <w:jc w:val="both"/>
            </w:pPr>
            <w:r>
              <w:rPr>
                <w:sz w:val="21"/>
              </w:rPr>
              <w:t>支持配置802.1X认证，通过用户密码进行认证验证，支持IP地址绑定、端口绑定等安全访问。</w:t>
            </w:r>
          </w:p>
          <w:p>
            <w:pPr>
              <w:pStyle w:val="null3"/>
              <w:jc w:val="both"/>
            </w:pPr>
            <w:r>
              <w:rPr>
                <w:sz w:val="21"/>
                <w:b/>
              </w:rPr>
              <w:t>智能一体化设备故障告警信息按市局接口接入市局视频智能运维管理系统或统一运维平台。</w:t>
            </w:r>
          </w:p>
        </w:tc>
      </w:tr>
      <w:tr>
        <w:tc>
          <w:tcPr>
            <w:tcW w:type="dxa" w:w="203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通信单元</w:t>
            </w:r>
          </w:p>
        </w:tc>
        <w:tc>
          <w:tcPr>
            <w:tcW w:type="dxa" w:w="6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支持通过无线数据传输，数据传输模式支持无线模式、有线模式、有线无线自动切换模式、无线备用模式；有线和无线方式支持不同端口、不同服务IP传输。</w:t>
            </w:r>
          </w:p>
        </w:tc>
      </w:tr>
      <w:tr>
        <w:tc>
          <w:tcPr>
            <w:tcW w:type="dxa" w:w="203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定位单元</w:t>
            </w:r>
          </w:p>
        </w:tc>
        <w:tc>
          <w:tcPr>
            <w:tcW w:type="dxa" w:w="6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内置北斗/GPS自动定位，支持自动获取经纬度，自动在平台地图上标识位置信息，支持位置变化跟踪，实时更新位置变化信息，定位精度小于5米，首次定位时间小于1分钟。</w:t>
            </w:r>
          </w:p>
        </w:tc>
      </w:tr>
      <w:tr>
        <w:tc>
          <w:tcPr>
            <w:tcW w:type="dxa" w:w="203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告警单元</w:t>
            </w:r>
          </w:p>
        </w:tc>
        <w:tc>
          <w:tcPr>
            <w:tcW w:type="dxa" w:w="6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当受到震动、倾斜、撞击时，客户端提示震动告警。</w:t>
            </w:r>
          </w:p>
        </w:tc>
      </w:tr>
      <w:tr>
        <w:tc>
          <w:tcPr>
            <w:tcW w:type="dxa" w:w="203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断电续传模块</w:t>
            </w:r>
          </w:p>
        </w:tc>
        <w:tc>
          <w:tcPr>
            <w:tcW w:type="dxa" w:w="6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应包含后端电池，在市电断电的情况下对智能设备机箱的状态信息回传至</w:t>
            </w:r>
            <w:r>
              <w:rPr>
                <w:sz w:val="21"/>
              </w:rPr>
              <w:t>智能机箱运维管理平台或统一运维平台</w:t>
            </w:r>
            <w:r>
              <w:rPr>
                <w:sz w:val="21"/>
              </w:rPr>
              <w:t>。</w:t>
            </w:r>
          </w:p>
        </w:tc>
      </w:tr>
      <w:tr>
        <w:tc>
          <w:tcPr>
            <w:tcW w:type="dxa" w:w="203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传输单元</w:t>
            </w:r>
          </w:p>
        </w:tc>
        <w:tc>
          <w:tcPr>
            <w:tcW w:type="dxa" w:w="6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内置工业级交换机，支持≥8个1000M以太网接口，支持≥</w:t>
            </w:r>
            <w:r>
              <w:rPr>
                <w:sz w:val="21"/>
              </w:rPr>
              <w:t>8</w:t>
            </w:r>
            <w:r>
              <w:rPr>
                <w:sz w:val="21"/>
              </w:rPr>
              <w:t>个</w:t>
            </w:r>
            <w:r>
              <w:rPr>
                <w:sz w:val="21"/>
              </w:rPr>
              <w:t>SFP光口，工作温度：-40ºC 到 80ºC。</w:t>
            </w:r>
          </w:p>
          <w:p>
            <w:pPr>
              <w:pStyle w:val="null3"/>
              <w:jc w:val="both"/>
            </w:pPr>
            <w:r>
              <w:rPr>
                <w:sz w:val="21"/>
              </w:rPr>
              <w:t>支持网管功能，可远程显示端口流量统计、端口link状态、连接设备的MAC地址。</w:t>
            </w:r>
          </w:p>
          <w:p>
            <w:pPr>
              <w:pStyle w:val="null3"/>
              <w:jc w:val="both"/>
            </w:pPr>
            <w:r>
              <w:rPr>
                <w:sz w:val="21"/>
              </w:rPr>
              <w:t>网管交换机和物联网智能控制单元支持IP复用模式，使用同一个IP地址进行访问。</w:t>
            </w:r>
          </w:p>
          <w:p>
            <w:pPr>
              <w:pStyle w:val="null3"/>
              <w:jc w:val="both"/>
            </w:pPr>
            <w:r>
              <w:rPr>
                <w:sz w:val="21"/>
              </w:rPr>
              <w:t>支持安全准入功能，支持端口MAC地址绑定，可动态设置接口允许通过的设备MAC地址，支持非法接入远程自动提醒，可远程禁止或放行设备通讯。</w:t>
            </w:r>
          </w:p>
          <w:p>
            <w:pPr>
              <w:pStyle w:val="null3"/>
              <w:jc w:val="both"/>
            </w:pPr>
            <w:r>
              <w:rPr>
                <w:sz w:val="21"/>
              </w:rPr>
              <w:t>支持自动获取模式、手动模式、批量模式设定MAC地址表。</w:t>
            </w:r>
          </w:p>
        </w:tc>
      </w:tr>
    </w:tbl>
    <w:p>
      <w:pPr>
        <w:pStyle w:val="null3"/>
        <w:spacing w:before="120"/>
        <w:ind w:left="570"/>
        <w:jc w:val="both"/>
        <w:outlineLvl w:val="1"/>
      </w:pPr>
      <w:r>
        <w:rPr>
          <w:sz w:val="21"/>
          <w:b/>
        </w:rPr>
        <w:t>4.13</w:t>
      </w:r>
      <w:r>
        <w:rPr>
          <w:sz w:val="21"/>
          <w:b/>
        </w:rPr>
        <w:t>服务</w:t>
      </w:r>
      <w:r>
        <w:rPr>
          <w:sz w:val="21"/>
          <w:b/>
        </w:rPr>
        <w:t>工作站</w:t>
      </w:r>
      <w:r>
        <w:rPr>
          <w:sz w:val="21"/>
          <w:b/>
        </w:rPr>
        <w:t>（中心管理</w:t>
      </w:r>
      <w:r>
        <w:rPr>
          <w:sz w:val="21"/>
          <w:b/>
        </w:rPr>
        <w:t>工作站</w:t>
      </w:r>
      <w:r>
        <w:rPr>
          <w:sz w:val="21"/>
          <w:b/>
        </w:rPr>
        <w:t>、对接</w:t>
      </w:r>
      <w:r>
        <w:rPr>
          <w:sz w:val="21"/>
          <w:b/>
        </w:rPr>
        <w:t>工作站</w:t>
      </w:r>
      <w:r>
        <w:rPr>
          <w:sz w:val="21"/>
          <w:b/>
        </w:rPr>
        <w:t>）</w:t>
      </w:r>
    </w:p>
    <w:tbl>
      <w:tblPr>
        <w:tblW w:w="0" w:type="auto"/>
        <w:tblBorders>
          <w:top w:val="none" w:color="000000" w:sz="4"/>
          <w:left w:val="none" w:color="000000" w:sz="4"/>
          <w:bottom w:val="none" w:color="000000" w:sz="4"/>
          <w:right w:val="none" w:color="000000" w:sz="4"/>
          <w:insideH w:val="none"/>
          <w:insideV w:val="none"/>
        </w:tblBorders>
      </w:tblPr>
      <w:tblGrid>
        <w:gridCol w:w="2013"/>
        <w:gridCol w:w="6291"/>
      </w:tblGrid>
      <w:tr>
        <w:tc>
          <w:tcPr>
            <w:tcW w:type="dxa" w:w="201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项目</w:t>
            </w:r>
          </w:p>
        </w:tc>
        <w:tc>
          <w:tcPr>
            <w:tcW w:type="dxa" w:w="6291"/>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参数描述</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处理器</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不少于1颗CPU(≥10核)</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内存</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标配≥</w:t>
            </w:r>
            <w:r>
              <w:rPr>
                <w:sz w:val="21"/>
              </w:rPr>
              <w:t>64</w:t>
            </w:r>
            <w:r>
              <w:rPr>
                <w:sz w:val="21"/>
              </w:rPr>
              <w:t>G DDR4</w:t>
            </w:r>
          </w:p>
          <w:p>
            <w:pPr>
              <w:pStyle w:val="null3"/>
              <w:jc w:val="both"/>
            </w:pPr>
            <w:r>
              <w:rPr>
                <w:sz w:val="21"/>
              </w:rPr>
              <w:t>扩展≥16根内存插槽，最大可扩展至2TB内存</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网络控制器</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标配≥2个千兆RJ45电口</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PCIE扩展</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最大可支持≥6个PCIe扩展插槽</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硬盘控制器</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 xml:space="preserve">标配SAS_HBA 卡，支持RAID 0/1/10  </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存储</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标配≥</w:t>
            </w:r>
            <w:r>
              <w:rPr>
                <w:sz w:val="21"/>
              </w:rPr>
              <w:t>4</w:t>
            </w:r>
            <w:r>
              <w:rPr>
                <w:sz w:val="21"/>
              </w:rPr>
              <w:t>块</w:t>
            </w:r>
            <w:r>
              <w:rPr>
                <w:sz w:val="21"/>
              </w:rPr>
              <w:t>600GB</w:t>
            </w:r>
            <w:r>
              <w:rPr>
                <w:sz w:val="21"/>
              </w:rPr>
              <w:t xml:space="preserve"> </w:t>
            </w:r>
            <w:r>
              <w:rPr>
                <w:sz w:val="21"/>
              </w:rPr>
              <w:t>2</w:t>
            </w:r>
            <w:r>
              <w:rPr>
                <w:sz w:val="21"/>
              </w:rPr>
              <w:t>.5英寸SAS盘</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其他端口</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≥1个千兆RJ-45管理接口</w:t>
            </w:r>
          </w:p>
          <w:p>
            <w:pPr>
              <w:pStyle w:val="null3"/>
              <w:jc w:val="both"/>
            </w:pPr>
            <w:r>
              <w:rPr>
                <w:sz w:val="21"/>
              </w:rPr>
              <w:t>≥4个USB接口</w:t>
            </w:r>
          </w:p>
          <w:p>
            <w:pPr>
              <w:pStyle w:val="null3"/>
              <w:jc w:val="both"/>
            </w:pPr>
            <w:r>
              <w:rPr>
                <w:sz w:val="21"/>
              </w:rPr>
              <w:t>≥1个VGA接口</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电源</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高效能550W（1+1）白金冗余电源</w:t>
            </w:r>
          </w:p>
          <w:p>
            <w:pPr>
              <w:pStyle w:val="null3"/>
              <w:jc w:val="both"/>
            </w:pPr>
            <w:r>
              <w:rPr>
                <w:sz w:val="21"/>
              </w:rPr>
              <w:t>支持200-240V 50/60Hz AC/HVDC</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散热</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≥3组热插拔冗余风扇</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显卡</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集成显示控制器，≥32MB显存</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环境温度要求</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工作时5℃～40℃</w:t>
            </w:r>
          </w:p>
          <w:p>
            <w:pPr>
              <w:pStyle w:val="null3"/>
              <w:jc w:val="both"/>
            </w:pPr>
            <w:r>
              <w:rPr>
                <w:sz w:val="21"/>
              </w:rPr>
              <w:t>运输存储-40℃～60℃</w:t>
            </w:r>
          </w:p>
        </w:tc>
      </w:tr>
      <w:tr>
        <w:tc>
          <w:tcPr>
            <w:tcW w:type="dxa" w:w="201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相对湿度要求</w:t>
            </w:r>
          </w:p>
        </w:tc>
        <w:tc>
          <w:tcPr>
            <w:tcW w:type="dxa" w:w="62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工作时35％～80％ RH</w:t>
            </w:r>
          </w:p>
          <w:p>
            <w:pPr>
              <w:pStyle w:val="null3"/>
              <w:jc w:val="both"/>
            </w:pPr>
            <w:r>
              <w:rPr>
                <w:sz w:val="21"/>
              </w:rPr>
              <w:t>运输存储20％～93％ RH</w:t>
            </w:r>
          </w:p>
        </w:tc>
      </w:tr>
    </w:tbl>
    <w:p>
      <w:pPr>
        <w:pStyle w:val="null3"/>
        <w:spacing w:before="120"/>
        <w:ind w:left="570"/>
        <w:jc w:val="both"/>
        <w:outlineLvl w:val="1"/>
      </w:pPr>
      <w:r>
        <w:rPr>
          <w:sz w:val="21"/>
          <w:b/>
        </w:rPr>
        <w:t>4.14汇聚交换机</w:t>
      </w:r>
    </w:p>
    <w:tbl>
      <w:tblPr>
        <w:tblW w:w="0" w:type="auto"/>
        <w:tblBorders>
          <w:top w:val="none" w:color="000000" w:sz="4"/>
          <w:left w:val="none" w:color="000000" w:sz="4"/>
          <w:bottom w:val="none" w:color="000000" w:sz="4"/>
          <w:right w:val="none" w:color="000000" w:sz="4"/>
          <w:insideH w:val="none"/>
          <w:insideV w:val="none"/>
        </w:tblBorders>
      </w:tblPr>
      <w:tblGrid>
        <w:gridCol w:w="1915"/>
        <w:gridCol w:w="6389"/>
      </w:tblGrid>
      <w:tr>
        <w:tc>
          <w:tcPr>
            <w:tcW w:type="dxa" w:w="191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项目</w:t>
            </w:r>
          </w:p>
        </w:tc>
        <w:tc>
          <w:tcPr>
            <w:tcW w:type="dxa" w:w="638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参数描述</w:t>
            </w:r>
          </w:p>
        </w:tc>
      </w:tr>
      <w:tr>
        <w:tc>
          <w:tcPr>
            <w:tcW w:type="dxa" w:w="19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传输速率</w:t>
            </w: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0"/>
              </w:rPr>
              <w:t>10/100/1000</w:t>
            </w:r>
            <w:r>
              <w:rPr>
                <w:sz w:val="21"/>
              </w:rPr>
              <w:t>Mbps</w:t>
            </w:r>
          </w:p>
        </w:tc>
      </w:tr>
      <w:tr>
        <w:tc>
          <w:tcPr>
            <w:tcW w:type="dxa" w:w="19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背板带宽</w:t>
            </w: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≥432Gbps/4.32Tbps</w:t>
            </w:r>
          </w:p>
        </w:tc>
      </w:tr>
      <w:tr>
        <w:tc>
          <w:tcPr>
            <w:tcW w:type="dxa" w:w="19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包转发率</w:t>
            </w: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≥120/138Mpps</w:t>
            </w:r>
          </w:p>
        </w:tc>
      </w:tr>
      <w:tr>
        <w:tc>
          <w:tcPr>
            <w:tcW w:type="dxa" w:w="19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MAC地址表</w:t>
            </w: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w:t>
            </w:r>
            <w:r>
              <w:rPr>
                <w:sz w:val="21"/>
              </w:rPr>
              <w:t>16K</w:t>
            </w:r>
          </w:p>
        </w:tc>
      </w:tr>
      <w:tr>
        <w:tc>
          <w:tcPr>
            <w:tcW w:type="dxa" w:w="19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端口描述</w:t>
            </w: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≥2</w:t>
            </w:r>
            <w:r>
              <w:rPr>
                <w:sz w:val="21"/>
              </w:rPr>
              <w:t>4个千兆 SFP</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≥8个</w:t>
            </w:r>
            <w:r>
              <w:rPr>
                <w:sz w:val="20"/>
              </w:rPr>
              <w:t>10/100/1000</w:t>
            </w:r>
            <w:r>
              <w:rPr>
                <w:sz w:val="21"/>
              </w:rPr>
              <w:t>Base-T</w:t>
            </w:r>
            <w:r>
              <w:rPr>
                <w:sz w:val="21"/>
              </w:rPr>
              <w:t>以太网口</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w:t>
            </w:r>
            <w:r>
              <w:rPr>
                <w:sz w:val="21"/>
              </w:rPr>
              <w:t>4个万兆 SFP+</w:t>
            </w:r>
          </w:p>
        </w:tc>
      </w:tr>
      <w:tr>
        <w:tc>
          <w:tcPr>
            <w:tcW w:type="dxa" w:w="19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堆叠功能</w:t>
            </w: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可堆叠</w:t>
            </w:r>
          </w:p>
        </w:tc>
      </w:tr>
      <w:tr>
        <w:tc>
          <w:tcPr>
            <w:tcW w:type="dxa" w:w="19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网络管理</w:t>
            </w: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支持智能iStack 堆叠</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支持虚拟电缆检测（Virtual Cable Test)</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 SNMPv1/v2/v3</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 RMON</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支持网管系统、支持WEB网管特性</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支持系统日志、分级告警</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 sFlow</w:t>
            </w:r>
          </w:p>
        </w:tc>
      </w:tr>
      <w:tr>
        <w:tc>
          <w:tcPr>
            <w:tcW w:type="dxa" w:w="19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安全管理</w:t>
            </w: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用户分级管理和口令保护</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支持IEEE 802.1X认证，支持单端口最大用户数限制</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支持CPU保护功能</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支持黑名单和白名单</w:t>
            </w:r>
          </w:p>
        </w:tc>
      </w:tr>
      <w:tr>
        <w:tc>
          <w:tcPr>
            <w:tcW w:type="dxa" w:w="1915"/>
            <w:vMerge/>
            <w:tcBorders>
              <w:top w:val="none" w:color="000000" w:sz="4"/>
              <w:left w:val="single" w:color="000000" w:sz="4"/>
              <w:bottom w:val="single" w:color="000000" w:sz="4"/>
              <w:right w:val="single" w:color="000000" w:sz="4"/>
            </w:tcBorders>
          </w:tcPr>
          <w:p/>
        </w:tc>
        <w:tc>
          <w:tcPr>
            <w:tcW w:type="dxa" w:w="638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1"/>
              </w:rPr>
              <w:t>支持dotlX、MAC认证和 Portal 认证</w:t>
            </w:r>
          </w:p>
        </w:tc>
      </w:tr>
    </w:tbl>
    <w:p>
      <w:pPr>
        <w:pStyle w:val="null3"/>
        <w:spacing w:before="120"/>
        <w:ind w:left="570"/>
        <w:jc w:val="both"/>
        <w:outlineLvl w:val="1"/>
      </w:pPr>
      <w:r>
        <w:rPr>
          <w:sz w:val="21"/>
          <w:b/>
        </w:rPr>
        <w:t>4.15网管型工业级交换机</w:t>
      </w:r>
    </w:p>
    <w:tbl>
      <w:tblPr>
        <w:tblW w:w="0" w:type="auto"/>
        <w:tblBorders>
          <w:top w:val="none" w:color="000000" w:sz="4"/>
          <w:left w:val="none" w:color="000000" w:sz="4"/>
          <w:bottom w:val="none" w:color="000000" w:sz="4"/>
          <w:right w:val="none" w:color="000000" w:sz="4"/>
          <w:insideH w:val="none"/>
          <w:insideV w:val="none"/>
        </w:tblBorders>
      </w:tblPr>
      <w:tblGrid>
        <w:gridCol w:w="1922"/>
        <w:gridCol w:w="6381"/>
      </w:tblGrid>
      <w:tr>
        <w:tc>
          <w:tcPr>
            <w:tcW w:type="dxa" w:w="1922"/>
            <w:tcBorders>
              <w:top w:val="single" w:color="000000" w:sz="4"/>
              <w:left w:val="single" w:color="000000" w:sz="4"/>
              <w:bottom w:val="single" w:color="000000" w:sz="4"/>
              <w:right w:val="single" w:color="000000" w:sz="4"/>
            </w:tcBorders>
            <w:shd w:fill="F1F1F1"/>
            <w:tcMar>
              <w:top w:type="dxa" w:w="15"/>
              <w:left w:type="dxa" w:w="15"/>
              <w:bottom w:type="dxa" w:w="15"/>
              <w:right w:type="dxa" w:w="15"/>
            </w:tcMar>
            <w:vAlign w:val="top"/>
          </w:tcPr>
          <w:p>
            <w:pPr>
              <w:pStyle w:val="null3"/>
              <w:jc w:val="center"/>
            </w:pPr>
            <w:r>
              <w:rPr>
                <w:sz w:val="21"/>
                <w:b/>
              </w:rPr>
              <w:t>项目</w:t>
            </w:r>
          </w:p>
        </w:tc>
        <w:tc>
          <w:tcPr>
            <w:tcW w:type="dxa" w:w="6381"/>
            <w:tcBorders>
              <w:top w:val="single" w:color="000000" w:sz="4"/>
              <w:left w:val="none" w:color="000000" w:sz="4"/>
              <w:bottom w:val="single" w:color="000000" w:sz="4"/>
              <w:right w:val="single" w:color="000000" w:sz="4"/>
            </w:tcBorders>
            <w:shd w:fill="F1F1F1"/>
            <w:tcMar>
              <w:top w:type="dxa" w:w="15"/>
              <w:left w:type="dxa" w:w="15"/>
              <w:bottom w:type="dxa" w:w="15"/>
              <w:right w:type="dxa" w:w="15"/>
            </w:tcMar>
            <w:vAlign w:val="top"/>
          </w:tcPr>
          <w:p>
            <w:pPr>
              <w:pStyle w:val="null3"/>
              <w:jc w:val="center"/>
            </w:pPr>
            <w:r>
              <w:rPr>
                <w:sz w:val="21"/>
                <w:b/>
              </w:rPr>
              <w:t>参数描述</w:t>
            </w:r>
          </w:p>
        </w:tc>
      </w:tr>
      <w:tr>
        <w:tc>
          <w:tcPr>
            <w:tcW w:type="dxa" w:w="1922"/>
            <w:tcBorders>
              <w:top w:val="none" w:color="000000" w:sz="4"/>
              <w:left w:val="single" w:color="000000" w:sz="4"/>
              <w:bottom w:val="single" w:color="000000" w:sz="4"/>
              <w:right w:val="single" w:color="000000" w:sz="4"/>
            </w:tcBorders>
            <w:tcMar>
              <w:top w:type="dxa" w:w="15"/>
              <w:left w:type="dxa" w:w="15"/>
              <w:bottom w:type="dxa" w:w="15"/>
              <w:right w:type="dxa" w:w="15"/>
            </w:tcMar>
            <w:vAlign w:val="top"/>
          </w:tcPr>
          <w:p>
            <w:pPr>
              <w:pStyle w:val="null3"/>
              <w:jc w:val="center"/>
            </w:pPr>
            <w:r>
              <w:rPr>
                <w:sz w:val="21"/>
              </w:rPr>
              <w:t>基本配置要求</w:t>
            </w:r>
          </w:p>
        </w:tc>
        <w:tc>
          <w:tcPr>
            <w:tcW w:type="dxa" w:w="6381"/>
            <w:tcBorders>
              <w:top w:val="none" w:color="000000" w:sz="4"/>
              <w:left w:val="none" w:color="000000" w:sz="4"/>
              <w:bottom w:val="single" w:color="000000" w:sz="4"/>
              <w:right w:val="single" w:color="000000" w:sz="4"/>
            </w:tcBorders>
            <w:tcMar>
              <w:top w:type="dxa" w:w="15"/>
              <w:left w:type="dxa" w:w="15"/>
              <w:bottom w:type="dxa" w:w="15"/>
              <w:right w:type="dxa" w:w="15"/>
            </w:tcMar>
            <w:vAlign w:val="top"/>
          </w:tcPr>
          <w:p>
            <w:pPr>
              <w:pStyle w:val="null3"/>
              <w:jc w:val="both"/>
            </w:pPr>
            <w:r>
              <w:rPr>
                <w:sz w:val="21"/>
              </w:rPr>
              <w:t>交换容量≥3.35Tbps；包转发率≥125Mpps；单台配置≥24个千兆以太网电接口，≥4个万兆以太网光接口</w:t>
            </w:r>
          </w:p>
        </w:tc>
      </w:tr>
      <w:tr>
        <w:tc>
          <w:tcPr>
            <w:tcW w:type="dxa" w:w="1922"/>
            <w:tcBorders>
              <w:top w:val="none" w:color="000000" w:sz="4"/>
              <w:left w:val="single" w:color="000000" w:sz="4"/>
              <w:bottom w:val="single" w:color="000000" w:sz="4"/>
              <w:right w:val="single" w:color="000000" w:sz="4"/>
            </w:tcBorders>
            <w:tcMar>
              <w:top w:type="dxa" w:w="15"/>
              <w:left w:type="dxa" w:w="15"/>
              <w:bottom w:type="dxa" w:w="15"/>
              <w:right w:type="dxa" w:w="15"/>
            </w:tcMar>
            <w:vAlign w:val="top"/>
          </w:tcPr>
          <w:p>
            <w:pPr>
              <w:pStyle w:val="null3"/>
              <w:jc w:val="center"/>
            </w:pPr>
            <w:r>
              <w:rPr>
                <w:sz w:val="21"/>
              </w:rPr>
              <w:t>路由功能</w:t>
            </w:r>
          </w:p>
        </w:tc>
        <w:tc>
          <w:tcPr>
            <w:tcW w:type="dxa" w:w="6381"/>
            <w:tcBorders>
              <w:top w:val="none" w:color="000000" w:sz="4"/>
              <w:left w:val="none" w:color="000000" w:sz="4"/>
              <w:bottom w:val="single" w:color="000000" w:sz="4"/>
              <w:right w:val="single" w:color="000000" w:sz="4"/>
            </w:tcBorders>
            <w:tcMar>
              <w:top w:type="dxa" w:w="15"/>
              <w:left w:type="dxa" w:w="15"/>
              <w:bottom w:type="dxa" w:w="15"/>
              <w:right w:type="dxa" w:w="15"/>
            </w:tcMar>
            <w:vAlign w:val="top"/>
          </w:tcPr>
          <w:p>
            <w:pPr>
              <w:pStyle w:val="null3"/>
              <w:jc w:val="both"/>
            </w:pPr>
            <w:r>
              <w:rPr>
                <w:sz w:val="21"/>
              </w:rPr>
              <w:t>支持IPv4/IPv6静态路由，支持RIP/RIPng，OSPF；</w:t>
            </w:r>
          </w:p>
        </w:tc>
      </w:tr>
      <w:tr>
        <w:tc>
          <w:tcPr>
            <w:tcW w:type="dxa" w:w="1922"/>
            <w:tcBorders>
              <w:top w:val="none" w:color="000000" w:sz="4"/>
              <w:left w:val="single" w:color="000000" w:sz="4"/>
              <w:bottom w:val="single" w:color="000000" w:sz="4"/>
              <w:right w:val="single" w:color="000000" w:sz="4"/>
            </w:tcBorders>
            <w:tcMar>
              <w:top w:type="dxa" w:w="15"/>
              <w:left w:type="dxa" w:w="15"/>
              <w:bottom w:type="dxa" w:w="15"/>
              <w:right w:type="dxa" w:w="15"/>
            </w:tcMar>
            <w:vAlign w:val="top"/>
          </w:tcPr>
          <w:p>
            <w:pPr>
              <w:pStyle w:val="null3"/>
              <w:jc w:val="center"/>
            </w:pPr>
            <w:r>
              <w:rPr>
                <w:sz w:val="21"/>
              </w:rPr>
              <w:t>端口聚合</w:t>
            </w:r>
          </w:p>
        </w:tc>
        <w:tc>
          <w:tcPr>
            <w:tcW w:type="dxa" w:w="6381"/>
            <w:tcBorders>
              <w:top w:val="none" w:color="000000" w:sz="4"/>
              <w:left w:val="none" w:color="000000" w:sz="4"/>
              <w:bottom w:val="single" w:color="000000" w:sz="4"/>
              <w:right w:val="single" w:color="000000" w:sz="4"/>
            </w:tcBorders>
            <w:tcMar>
              <w:top w:type="dxa" w:w="15"/>
              <w:left w:type="dxa" w:w="15"/>
              <w:bottom w:type="dxa" w:w="15"/>
              <w:right w:type="dxa" w:w="15"/>
            </w:tcMar>
            <w:vAlign w:val="top"/>
          </w:tcPr>
          <w:p>
            <w:pPr>
              <w:pStyle w:val="null3"/>
              <w:jc w:val="both"/>
            </w:pPr>
            <w:r>
              <w:rPr>
                <w:sz w:val="21"/>
              </w:rPr>
              <w:t>支持GE端口聚合，支持</w:t>
            </w:r>
            <w:r>
              <w:rPr>
                <w:sz w:val="21"/>
              </w:rPr>
              <w:t>≥</w:t>
            </w:r>
            <w:r>
              <w:rPr>
                <w:sz w:val="21"/>
              </w:rPr>
              <w:t>10GE端口聚合，支持静态聚合，支持动态聚合，支持跨设备聚合</w:t>
            </w:r>
          </w:p>
        </w:tc>
      </w:tr>
      <w:tr>
        <w:tc>
          <w:tcPr>
            <w:tcW w:type="dxa" w:w="1922"/>
            <w:tcBorders>
              <w:top w:val="none" w:color="000000" w:sz="4"/>
              <w:left w:val="single" w:color="000000" w:sz="4"/>
              <w:bottom w:val="single" w:color="000000" w:sz="4"/>
              <w:right w:val="single" w:color="000000" w:sz="4"/>
            </w:tcBorders>
            <w:tcMar>
              <w:top w:type="dxa" w:w="15"/>
              <w:left w:type="dxa" w:w="15"/>
              <w:bottom w:type="dxa" w:w="15"/>
              <w:right w:type="dxa" w:w="15"/>
            </w:tcMar>
            <w:vAlign w:val="top"/>
          </w:tcPr>
          <w:p>
            <w:pPr>
              <w:pStyle w:val="null3"/>
              <w:jc w:val="center"/>
            </w:pPr>
            <w:r>
              <w:rPr>
                <w:sz w:val="21"/>
              </w:rPr>
              <w:t>扩展功能</w:t>
            </w:r>
          </w:p>
        </w:tc>
        <w:tc>
          <w:tcPr>
            <w:tcW w:type="dxa" w:w="6381"/>
            <w:tcBorders>
              <w:top w:val="none" w:color="000000" w:sz="4"/>
              <w:left w:val="none" w:color="000000" w:sz="4"/>
              <w:bottom w:val="single" w:color="000000" w:sz="4"/>
              <w:right w:val="single" w:color="000000" w:sz="4"/>
            </w:tcBorders>
            <w:tcMar>
              <w:top w:type="dxa" w:w="15"/>
              <w:left w:type="dxa" w:w="15"/>
              <w:bottom w:type="dxa" w:w="15"/>
              <w:right w:type="dxa" w:w="15"/>
            </w:tcMar>
            <w:vAlign w:val="top"/>
          </w:tcPr>
          <w:p>
            <w:pPr>
              <w:pStyle w:val="null3"/>
              <w:jc w:val="both"/>
            </w:pPr>
            <w:r>
              <w:rPr>
                <w:sz w:val="21"/>
              </w:rPr>
              <w:t>最大堆叠台数≥9台；最大堆叠带宽≥80G；支持单一IP管理，分布式弹性路由；</w:t>
            </w:r>
          </w:p>
        </w:tc>
      </w:tr>
      <w:tr>
        <w:tc>
          <w:tcPr>
            <w:tcW w:type="dxa" w:w="1922"/>
            <w:tcBorders>
              <w:top w:val="none" w:color="000000" w:sz="4"/>
              <w:left w:val="single" w:color="000000" w:sz="4"/>
              <w:bottom w:val="single" w:color="000000" w:sz="4"/>
              <w:right w:val="single" w:color="000000" w:sz="4"/>
            </w:tcBorders>
            <w:tcMar>
              <w:top w:type="dxa" w:w="15"/>
              <w:left w:type="dxa" w:w="15"/>
              <w:bottom w:type="dxa" w:w="15"/>
              <w:right w:type="dxa" w:w="15"/>
            </w:tcMar>
            <w:vAlign w:val="top"/>
          </w:tcPr>
          <w:p>
            <w:pPr>
              <w:pStyle w:val="null3"/>
              <w:jc w:val="center"/>
            </w:pPr>
            <w:r>
              <w:rPr>
                <w:sz w:val="21"/>
              </w:rPr>
              <w:t>安全功能</w:t>
            </w:r>
          </w:p>
        </w:tc>
        <w:tc>
          <w:tcPr>
            <w:tcW w:type="dxa" w:w="6381"/>
            <w:tcBorders>
              <w:top w:val="none" w:color="000000" w:sz="4"/>
              <w:left w:val="none" w:color="000000" w:sz="4"/>
              <w:bottom w:val="single" w:color="000000" w:sz="4"/>
              <w:right w:val="single" w:color="000000" w:sz="4"/>
            </w:tcBorders>
            <w:tcMar>
              <w:top w:type="dxa" w:w="15"/>
              <w:left w:type="dxa" w:w="15"/>
              <w:bottom w:type="dxa" w:w="15"/>
              <w:right w:type="dxa" w:w="15"/>
            </w:tcMar>
            <w:vAlign w:val="top"/>
          </w:tcPr>
          <w:p>
            <w:pPr>
              <w:pStyle w:val="null3"/>
              <w:jc w:val="both"/>
            </w:pPr>
            <w:r>
              <w:rPr>
                <w:sz w:val="21"/>
              </w:rPr>
              <w:t>支持802.1X，MAC认证，端口安全，支持LACP协议，支持</w:t>
            </w:r>
            <w:r>
              <w:rPr>
                <w:sz w:val="21"/>
              </w:rPr>
              <w:t>≥</w:t>
            </w:r>
            <w:r>
              <w:rPr>
                <w:sz w:val="21"/>
              </w:rPr>
              <w:t>4K个VLAN，支持最大16K MAC地址及黑洞MAC等特性；</w:t>
            </w:r>
          </w:p>
        </w:tc>
      </w:tr>
      <w:tr>
        <w:tc>
          <w:tcPr>
            <w:tcW w:type="dxa" w:w="1922"/>
            <w:tcBorders>
              <w:top w:val="none" w:color="000000" w:sz="4"/>
              <w:left w:val="single" w:color="000000" w:sz="4"/>
              <w:bottom w:val="single" w:color="000000" w:sz="4"/>
              <w:right w:val="single" w:color="000000" w:sz="4"/>
            </w:tcBorders>
            <w:tcMar>
              <w:top w:type="dxa" w:w="15"/>
              <w:left w:type="dxa" w:w="15"/>
              <w:bottom w:type="dxa" w:w="15"/>
              <w:right w:type="dxa" w:w="15"/>
            </w:tcMar>
            <w:vAlign w:val="top"/>
          </w:tcPr>
          <w:p>
            <w:pPr>
              <w:pStyle w:val="null3"/>
              <w:jc w:val="center"/>
            </w:pPr>
            <w:r>
              <w:rPr>
                <w:sz w:val="21"/>
              </w:rPr>
              <w:t>设备虚拟功能</w:t>
            </w:r>
          </w:p>
        </w:tc>
        <w:tc>
          <w:tcPr>
            <w:tcW w:type="dxa" w:w="6381"/>
            <w:tcBorders>
              <w:top w:val="none" w:color="000000" w:sz="4"/>
              <w:left w:val="none" w:color="000000" w:sz="4"/>
              <w:bottom w:val="single" w:color="000000" w:sz="4"/>
              <w:right w:val="single" w:color="000000" w:sz="4"/>
            </w:tcBorders>
            <w:tcMar>
              <w:top w:type="dxa" w:w="15"/>
              <w:left w:type="dxa" w:w="15"/>
              <w:bottom w:type="dxa" w:w="15"/>
              <w:right w:type="dxa" w:w="15"/>
            </w:tcMar>
            <w:vAlign w:val="top"/>
          </w:tcPr>
          <w:p>
            <w:pPr>
              <w:pStyle w:val="null3"/>
              <w:jc w:val="both"/>
            </w:pPr>
            <w:r>
              <w:rPr>
                <w:sz w:val="21"/>
              </w:rPr>
              <w:t>支持纵向维度上将核心层设备和接入层设备虚拟为一台逻辑设备，以达到扩展I/O端口能力和进行集中控制管理的目的；</w:t>
            </w:r>
          </w:p>
        </w:tc>
      </w:tr>
      <w:tr>
        <w:tc>
          <w:tcPr>
            <w:tcW w:type="dxa" w:w="1922"/>
            <w:tcBorders>
              <w:top w:val="none" w:color="000000" w:sz="4"/>
              <w:left w:val="single" w:color="000000" w:sz="4"/>
              <w:bottom w:val="single" w:color="000000" w:sz="4"/>
              <w:right w:val="single" w:color="000000" w:sz="4"/>
            </w:tcBorders>
            <w:tcMar>
              <w:top w:type="dxa" w:w="15"/>
              <w:left w:type="dxa" w:w="15"/>
              <w:bottom w:type="dxa" w:w="15"/>
              <w:right w:type="dxa" w:w="15"/>
            </w:tcMar>
            <w:vAlign w:val="top"/>
          </w:tcPr>
          <w:p>
            <w:pPr>
              <w:pStyle w:val="null3"/>
              <w:jc w:val="center"/>
            </w:pPr>
            <w:r>
              <w:rPr>
                <w:sz w:val="21"/>
              </w:rPr>
              <w:t>网络组管理</w:t>
            </w:r>
          </w:p>
        </w:tc>
        <w:tc>
          <w:tcPr>
            <w:tcW w:type="dxa" w:w="6381"/>
            <w:tcBorders>
              <w:top w:val="none" w:color="000000" w:sz="4"/>
              <w:left w:val="none" w:color="000000" w:sz="4"/>
              <w:bottom w:val="single" w:color="000000" w:sz="4"/>
              <w:right w:val="single" w:color="000000" w:sz="4"/>
            </w:tcBorders>
            <w:tcMar>
              <w:top w:type="dxa" w:w="15"/>
              <w:left w:type="dxa" w:w="15"/>
              <w:bottom w:type="dxa" w:w="15"/>
              <w:right w:type="dxa" w:w="15"/>
            </w:tcMar>
            <w:vAlign w:val="top"/>
          </w:tcPr>
          <w:p>
            <w:pPr>
              <w:pStyle w:val="null3"/>
              <w:jc w:val="both"/>
            </w:pPr>
            <w:r>
              <w:rPr>
                <w:sz w:val="21"/>
              </w:rPr>
              <w:t>支持IGMP v1/v2/v3，MLD v1/v2，支持IGMP Snooping v1/v2/v3，MLD Snooping v1/v2；</w:t>
            </w:r>
          </w:p>
        </w:tc>
      </w:tr>
      <w:tr>
        <w:tc>
          <w:tcPr>
            <w:tcW w:type="dxa" w:w="1922"/>
            <w:tcBorders>
              <w:top w:val="none" w:color="000000" w:sz="4"/>
              <w:left w:val="single" w:color="000000" w:sz="4"/>
              <w:bottom w:val="single" w:color="000000" w:sz="4"/>
              <w:right w:val="single" w:color="000000" w:sz="4"/>
            </w:tcBorders>
            <w:tcMar>
              <w:top w:type="dxa" w:w="15"/>
              <w:left w:type="dxa" w:w="15"/>
              <w:bottom w:type="dxa" w:w="15"/>
              <w:right w:type="dxa" w:w="15"/>
            </w:tcMar>
            <w:vAlign w:val="top"/>
          </w:tcPr>
          <w:p>
            <w:pPr>
              <w:pStyle w:val="null3"/>
              <w:jc w:val="center"/>
            </w:pPr>
            <w:r>
              <w:rPr>
                <w:sz w:val="21"/>
              </w:rPr>
              <w:t>防雷能力</w:t>
            </w:r>
          </w:p>
        </w:tc>
        <w:tc>
          <w:tcPr>
            <w:tcW w:type="dxa" w:w="6381"/>
            <w:tcBorders>
              <w:top w:val="none" w:color="000000" w:sz="4"/>
              <w:left w:val="none" w:color="000000" w:sz="4"/>
              <w:bottom w:val="single" w:color="000000" w:sz="4"/>
              <w:right w:val="single" w:color="000000" w:sz="4"/>
            </w:tcBorders>
            <w:tcMar>
              <w:top w:type="dxa" w:w="15"/>
              <w:left w:type="dxa" w:w="15"/>
              <w:bottom w:type="dxa" w:w="15"/>
              <w:right w:type="dxa" w:w="15"/>
            </w:tcMar>
            <w:vAlign w:val="top"/>
          </w:tcPr>
          <w:p>
            <w:pPr>
              <w:pStyle w:val="null3"/>
              <w:jc w:val="both"/>
            </w:pPr>
            <w:r>
              <w:rPr>
                <w:sz w:val="21"/>
              </w:rPr>
              <w:t>支持≥8KV业务端口防雷能力，使其在比较恶劣的工作环境中也能极大的降低雷击对设备的损坏率</w:t>
            </w:r>
          </w:p>
        </w:tc>
      </w:tr>
      <w:tr>
        <w:tc>
          <w:tcPr>
            <w:tcW w:type="dxa" w:w="1922"/>
            <w:tcBorders>
              <w:top w:val="none" w:color="000000" w:sz="4"/>
              <w:left w:val="single" w:color="000000" w:sz="4"/>
              <w:bottom w:val="single" w:color="000000" w:sz="4"/>
              <w:right w:val="single" w:color="000000" w:sz="4"/>
            </w:tcBorders>
            <w:tcMar>
              <w:top w:type="dxa" w:w="15"/>
              <w:left w:type="dxa" w:w="15"/>
              <w:bottom w:type="dxa" w:w="15"/>
              <w:right w:type="dxa" w:w="15"/>
            </w:tcMar>
            <w:vAlign w:val="top"/>
          </w:tcPr>
          <w:p>
            <w:pPr>
              <w:pStyle w:val="null3"/>
              <w:jc w:val="center"/>
            </w:pPr>
            <w:r>
              <w:rPr>
                <w:sz w:val="21"/>
              </w:rPr>
              <w:t>告警功能</w:t>
            </w:r>
          </w:p>
        </w:tc>
        <w:tc>
          <w:tcPr>
            <w:tcW w:type="dxa" w:w="6381"/>
            <w:tcBorders>
              <w:top w:val="none" w:color="000000" w:sz="4"/>
              <w:left w:val="none" w:color="000000" w:sz="4"/>
              <w:bottom w:val="single" w:color="000000" w:sz="4"/>
              <w:right w:val="single" w:color="000000" w:sz="4"/>
            </w:tcBorders>
            <w:tcMar>
              <w:top w:type="dxa" w:w="15"/>
              <w:left w:type="dxa" w:w="15"/>
              <w:bottom w:type="dxa" w:w="15"/>
              <w:right w:type="dxa" w:w="15"/>
            </w:tcMar>
            <w:vAlign w:val="top"/>
          </w:tcPr>
          <w:p>
            <w:pPr>
              <w:pStyle w:val="null3"/>
              <w:jc w:val="both"/>
            </w:pPr>
            <w:r>
              <w:rPr>
                <w:sz w:val="21"/>
              </w:rPr>
              <w:t>▲支持不少于2路输出告警（提供入网检测报告复印件证明，注明采购项目名称的水印，并加盖厂商投标专用章或公章）</w:t>
            </w:r>
          </w:p>
        </w:tc>
      </w:tr>
      <w:tr>
        <w:tc>
          <w:tcPr>
            <w:tcW w:type="dxa" w:w="1922"/>
            <w:tcBorders>
              <w:top w:val="none" w:color="000000" w:sz="4"/>
              <w:left w:val="single" w:color="000000" w:sz="4"/>
              <w:bottom w:val="single" w:color="000000" w:sz="4"/>
              <w:right w:val="single" w:color="000000" w:sz="4"/>
            </w:tcBorders>
            <w:tcMar>
              <w:top w:type="dxa" w:w="15"/>
              <w:left w:type="dxa" w:w="15"/>
              <w:bottom w:type="dxa" w:w="15"/>
              <w:right w:type="dxa" w:w="15"/>
            </w:tcMar>
            <w:vAlign w:val="top"/>
          </w:tcPr>
          <w:p>
            <w:pPr>
              <w:pStyle w:val="null3"/>
              <w:jc w:val="center"/>
            </w:pPr>
            <w:r>
              <w:rPr>
                <w:sz w:val="21"/>
              </w:rPr>
              <w:t>入网许可证</w:t>
            </w:r>
          </w:p>
        </w:tc>
        <w:tc>
          <w:tcPr>
            <w:tcW w:type="dxa" w:w="6381"/>
            <w:tcBorders>
              <w:top w:val="none" w:color="000000" w:sz="4"/>
              <w:left w:val="none" w:color="000000" w:sz="4"/>
              <w:bottom w:val="single" w:color="000000" w:sz="4"/>
              <w:right w:val="single" w:color="000000" w:sz="4"/>
            </w:tcBorders>
            <w:tcMar>
              <w:top w:type="dxa" w:w="15"/>
              <w:left w:type="dxa" w:w="15"/>
              <w:bottom w:type="dxa" w:w="15"/>
              <w:right w:type="dxa" w:w="15"/>
            </w:tcMar>
            <w:vAlign w:val="top"/>
          </w:tcPr>
          <w:p>
            <w:pPr>
              <w:pStyle w:val="null3"/>
              <w:jc w:val="both"/>
            </w:pPr>
            <w:r>
              <w:rPr>
                <w:sz w:val="21"/>
              </w:rPr>
              <w:t>▲提供入网许可证和入网检测报告，入网许可证和入网检测报告的型号需保持一致。（提供入网许可证和入网检测报告复印件证明，注明采购项目名称的水印，并加盖厂商投标专用章或公章）</w:t>
            </w:r>
          </w:p>
        </w:tc>
      </w:tr>
    </w:tbl>
    <w:p>
      <w:pPr>
        <w:pStyle w:val="null3"/>
        <w:spacing w:before="120"/>
        <w:ind w:left="570"/>
        <w:jc w:val="both"/>
        <w:outlineLvl w:val="1"/>
      </w:pPr>
      <w:r>
        <w:rPr>
          <w:sz w:val="21"/>
          <w:b/>
        </w:rPr>
        <w:t>4.16. 3</w:t>
      </w:r>
      <w:r>
        <w:rPr>
          <w:sz w:val="21"/>
          <w:b/>
        </w:rPr>
        <w:t>6</w:t>
      </w:r>
      <w:r>
        <w:rPr>
          <w:sz w:val="21"/>
          <w:b/>
        </w:rPr>
        <w:t>盘位磁盘阵列</w:t>
      </w:r>
    </w:p>
    <w:tbl>
      <w:tblPr>
        <w:tblW w:w="0" w:type="auto"/>
        <w:tblBorders>
          <w:top w:val="none" w:color="000000" w:sz="4"/>
          <w:left w:val="none" w:color="000000" w:sz="4"/>
          <w:bottom w:val="none" w:color="000000" w:sz="4"/>
          <w:right w:val="none" w:color="000000" w:sz="4"/>
          <w:insideH w:val="none"/>
          <w:insideV w:val="none"/>
        </w:tblBorders>
      </w:tblPr>
      <w:tblGrid>
        <w:gridCol w:w="1859"/>
        <w:gridCol w:w="6445"/>
      </w:tblGrid>
      <w:tr>
        <w:tc>
          <w:tcPr>
            <w:tcW w:type="dxa" w:w="1859"/>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项目</w:t>
            </w:r>
          </w:p>
        </w:tc>
        <w:tc>
          <w:tcPr>
            <w:tcW w:type="dxa" w:w="6445"/>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b/>
              </w:rPr>
              <w:t>参数描述</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录像模式：视频（2Mbps）+图片</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768</w:t>
            </w:r>
            <w:r>
              <w:rPr>
                <w:sz w:val="21"/>
              </w:rPr>
              <w:t>路（录像</w:t>
            </w:r>
            <w:r>
              <w:rPr>
                <w:sz w:val="21"/>
              </w:rPr>
              <w:t>+回放）</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流媒体</w:t>
            </w:r>
            <w:r>
              <w:rPr>
                <w:sz w:val="21"/>
              </w:rPr>
              <w:t>模式：视频（</w:t>
            </w:r>
            <w:r>
              <w:rPr>
                <w:sz w:val="21"/>
              </w:rPr>
              <w:t>2M</w:t>
            </w:r>
            <w:r>
              <w:rPr>
                <w:sz w:val="21"/>
              </w:rPr>
              <w:t>bps）</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384</w:t>
            </w:r>
            <w:r>
              <w:rPr>
                <w:sz w:val="21"/>
              </w:rPr>
              <w:t>路</w:t>
            </w:r>
            <w:r>
              <w:rPr>
                <w:sz w:val="21"/>
              </w:rPr>
              <w:t>接入+</w:t>
            </w:r>
            <w:r>
              <w:rPr>
                <w:sz w:val="21"/>
              </w:rPr>
              <w:t>≥</w:t>
            </w:r>
            <w:r>
              <w:rPr>
                <w:sz w:val="21"/>
              </w:rPr>
              <w:t>384</w:t>
            </w:r>
            <w:r>
              <w:rPr>
                <w:sz w:val="21"/>
              </w:rPr>
              <w:t>路</w:t>
            </w:r>
            <w:r>
              <w:rPr>
                <w:sz w:val="21"/>
              </w:rPr>
              <w:t>录像+</w:t>
            </w:r>
            <w:r>
              <w:rPr>
                <w:sz w:val="21"/>
              </w:rPr>
              <w:t>≥</w:t>
            </w:r>
            <w:r>
              <w:rPr>
                <w:sz w:val="21"/>
              </w:rPr>
              <w:t>384</w:t>
            </w:r>
            <w:r>
              <w:rPr>
                <w:sz w:val="21"/>
              </w:rPr>
              <w:t>路</w:t>
            </w:r>
            <w:r>
              <w:rPr>
                <w:sz w:val="21"/>
              </w:rPr>
              <w:t>转发</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视频</w:t>
            </w:r>
            <w:r>
              <w:rPr>
                <w:sz w:val="21"/>
              </w:rPr>
              <w:t>文件存储</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20</w:t>
            </w:r>
            <w:r>
              <w:rPr>
                <w:sz w:val="21"/>
              </w:rPr>
              <w:t>路并发导入，≥20路并发</w:t>
            </w:r>
            <w:r>
              <w:rPr>
                <w:sz w:val="21"/>
              </w:rPr>
              <w:t>下载，</w:t>
            </w:r>
            <w:r>
              <w:rPr>
                <w:sz w:val="21"/>
              </w:rPr>
              <w:t>≥10路并发上传中心</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处理器</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性能不低于64位多核处理器</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高速缓存</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≥4</w:t>
            </w:r>
            <w:r>
              <w:rPr>
                <w:sz w:val="21"/>
              </w:rPr>
              <w:t>GB（可扩展至64G）</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磁盘数量</w:t>
            </w:r>
          </w:p>
        </w:tc>
        <w:tc>
          <w:tcPr>
            <w:tcW w:type="dxa" w:w="6445"/>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w:t>
            </w:r>
            <w:r>
              <w:rPr>
                <w:sz w:val="21"/>
              </w:rPr>
              <w:t>36</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磁盘接口</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SATA/1T,2T,3T,4T,6T、</w:t>
            </w:r>
            <w:r>
              <w:rPr>
                <w:sz w:val="21"/>
              </w:rPr>
              <w:t>8T、1</w:t>
            </w:r>
            <w:r>
              <w:rPr>
                <w:sz w:val="21"/>
              </w:rPr>
              <w:t>0T</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热插拔磁盘</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RAID级别</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RAID0、1、</w:t>
            </w:r>
            <w:r>
              <w:rPr>
                <w:sz w:val="21"/>
              </w:rPr>
              <w:t>3、</w:t>
            </w:r>
            <w:r>
              <w:rPr>
                <w:sz w:val="21"/>
              </w:rPr>
              <w:t>5、</w:t>
            </w:r>
            <w:r>
              <w:rPr>
                <w:sz w:val="21"/>
              </w:rPr>
              <w:t>6、</w:t>
            </w:r>
            <w:r>
              <w:rPr>
                <w:sz w:val="21"/>
              </w:rPr>
              <w:t>10、</w:t>
            </w:r>
            <w:r>
              <w:rPr>
                <w:sz w:val="21"/>
              </w:rPr>
              <w:t>50、VRAID</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快速配置</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页面向导型快速配置，在配置前期，对设备进行全面的检测，包括物理环境，域环境，平台环境进行全面扫描，针对发现的异常，给出对应的提示，会明确指出异常，包括硬盘数量异常、docker服务异常、镜像等情况（提供公安部检测机构出具的检测报告复印件证明，注明采购项目名称的水印，并加盖厂商投标专用章或公章）</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录像方式</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定时录像、手动录像、主子码流录像、报警录像等多种录像方式</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混合存储</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可对视音频、图片、结构化数据、对象等文件进行混合存储，并可通过http和https方式下载，支持划分多个对象池，支持对象池的独立循环覆盖，并支持多种操作方式，包括创建、查询、编辑、删除等；支持对象文件下载 ；支持断点续传下载；支持流式视频文件上传、存储，支持点播回放（提供公安部检测机构出具的检测报告复印件证明，注明采购项目名称的水印，并加盖厂商投标专用章或公章）</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录像备份</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本机备份、异地备份</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录像保护</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支持关键视频加锁保护、断网智能补录、录像丢失检测报警、</w:t>
            </w:r>
            <w:r>
              <w:rPr>
                <w:sz w:val="21"/>
              </w:rPr>
              <w:t>文件</w:t>
            </w:r>
            <w:r>
              <w:rPr>
                <w:sz w:val="21"/>
              </w:rPr>
              <w:t>加锁</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查询方式</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按时间、事件类型查询</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运维监管</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运维客户端监管存储设备状态，包括系统、硬盘、环控、报警、保养灯等模块，并同步实时展示；运维客户端可展示设备的在线和离线状态，并同步统计在线、离线设备的数量；针对在线设备，同步显示连接异常、警告等状态信息，并统计相关数量；运维客户端支持设备报告的管理和下载功能。支持手动下载及策略下载；可设置下载时间，下载数量，及周期性管理；可灵活配置下载周期，支持每天、每三天、每周、每月等模式的配置（提供公安部检测机构出具的检测报告复印件证明，注明采购项目名称的水印，并加盖厂商投标专用章或公章）</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管理方式</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基于Web的GUI，串口CLI，支持多设备统一管理</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纠删码</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网络RAID纠删码技术，多台存储设备组建网络RAID，设置为负载均衡；单台或多台存储设备组建网络RAID，允许每组RAID中任意1-18个磁盘发生故障，数据不丢失，存储服务不中断；允许每组RAID中任意20块硬盘发生故障，业务不中断（提供公安部检测机构出具的检测报告复印件证明，注明采购项目名称的水印，并加盖厂商投标专用章或公章）</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网络协议</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RTSP、ONVIF、PSIA、GB/T28181、</w:t>
            </w:r>
            <w:r>
              <w:rPr>
                <w:sz w:val="21"/>
              </w:rPr>
              <w:t>iSCSI</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容器镜像</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▲支持容器镜像管理，包括容器镜像启动/暂停、业务升级/回退、上传/删除，支持添加新业务，支持修改容器镜像IP地址、业务参数，支持查看容器镜像中业务信息（</w:t>
            </w:r>
            <w:r>
              <w:rPr>
                <w:sz w:val="21"/>
              </w:rPr>
              <w:t>包括但不限于</w:t>
            </w:r>
            <w:r>
              <w:rPr>
                <w:sz w:val="21"/>
              </w:rPr>
              <w:t>：CPU使用率、内存使用量、网络流量、业务所在节点）（提供公安部检测机构出具的检测报告复印件证明，注明采购项目名称的水印，并加盖厂商投标专用章或公章）</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数据</w:t>
            </w:r>
            <w:r>
              <w:rPr>
                <w:sz w:val="21"/>
              </w:rPr>
              <w:t>接口</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标配≥2</w:t>
            </w:r>
            <w:r>
              <w:rPr>
                <w:sz w:val="21"/>
              </w:rPr>
              <w:t>个</w:t>
            </w:r>
            <w:r>
              <w:rPr>
                <w:sz w:val="21"/>
              </w:rPr>
              <w:t>千兆</w:t>
            </w:r>
            <w:r>
              <w:rPr>
                <w:sz w:val="21"/>
              </w:rPr>
              <w:t>以太网口</w:t>
            </w:r>
          </w:p>
          <w:p>
            <w:pPr>
              <w:pStyle w:val="null3"/>
              <w:jc w:val="both"/>
            </w:pPr>
            <w:r>
              <w:rPr>
                <w:sz w:val="21"/>
              </w:rPr>
              <w:t>扩展至</w:t>
            </w:r>
            <w:r>
              <w:rPr>
                <w:sz w:val="21"/>
              </w:rPr>
              <w:t>≥4个千兆</w:t>
            </w:r>
            <w:r>
              <w:rPr>
                <w:sz w:val="21"/>
              </w:rPr>
              <w:t>或</w:t>
            </w:r>
            <w:r>
              <w:rPr>
                <w:sz w:val="21"/>
              </w:rPr>
              <w:t>≥2个万兆网口</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管理接口</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≥1个千兆以太网口</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SAS扩展口</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支持</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USB接口</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≥2个</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VGA接口</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≥1个</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电源</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冗余电源（1+1）</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功耗（含盘）</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工作功耗：≤</w:t>
            </w:r>
            <w:r>
              <w:rPr>
                <w:sz w:val="21"/>
              </w:rPr>
              <w:t>400</w:t>
            </w:r>
            <w:r>
              <w:rPr>
                <w:sz w:val="21"/>
              </w:rPr>
              <w:t>W；额定功耗：≤</w:t>
            </w:r>
            <w:r>
              <w:rPr>
                <w:sz w:val="21"/>
              </w:rPr>
              <w:t>900</w:t>
            </w:r>
            <w:r>
              <w:rPr>
                <w:sz w:val="21"/>
              </w:rPr>
              <w:t>W</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环境温度</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工作：</w:t>
            </w:r>
            <w:r>
              <w:rPr>
                <w:sz w:val="21"/>
              </w:rPr>
              <w:t>至少5</w:t>
            </w:r>
            <w:r>
              <w:rPr>
                <w:sz w:val="21"/>
              </w:rPr>
              <w:t>℃</w:t>
            </w:r>
            <w:r>
              <w:rPr>
                <w:sz w:val="21"/>
              </w:rPr>
              <w:t>～35</w:t>
            </w:r>
            <w:r>
              <w:rPr>
                <w:sz w:val="21"/>
              </w:rPr>
              <w:t>℃</w:t>
            </w:r>
            <w:r>
              <w:rPr>
                <w:sz w:val="21"/>
              </w:rPr>
              <w:t>储藏：</w:t>
            </w:r>
            <w:r>
              <w:rPr>
                <w:sz w:val="21"/>
              </w:rPr>
              <w:t>至少</w:t>
            </w:r>
            <w:r>
              <w:rPr>
                <w:sz w:val="21"/>
              </w:rPr>
              <w:t>-20</w:t>
            </w:r>
            <w:r>
              <w:rPr>
                <w:sz w:val="21"/>
              </w:rPr>
              <w:t>℃</w:t>
            </w:r>
            <w:r>
              <w:rPr>
                <w:sz w:val="21"/>
              </w:rPr>
              <w:t>～</w:t>
            </w:r>
            <w:r>
              <w:rPr>
                <w:sz w:val="21"/>
              </w:rPr>
              <w:t>70</w:t>
            </w:r>
            <w:r>
              <w:rPr>
                <w:sz w:val="21"/>
              </w:rPr>
              <w:t>℃</w:t>
            </w:r>
          </w:p>
        </w:tc>
      </w:tr>
      <w:tr>
        <w:tc>
          <w:tcPr>
            <w:tcW w:type="dxa" w:w="185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sz w:val="21"/>
              </w:rPr>
              <w:t>环境湿度</w:t>
            </w:r>
          </w:p>
        </w:tc>
        <w:tc>
          <w:tcPr>
            <w:tcW w:type="dxa" w:w="644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both"/>
            </w:pPr>
            <w:r>
              <w:rPr>
                <w:sz w:val="21"/>
              </w:rPr>
              <w:t>工作：</w:t>
            </w:r>
            <w:r>
              <w:rPr>
                <w:sz w:val="21"/>
              </w:rPr>
              <w:t>至少</w:t>
            </w:r>
            <w:r>
              <w:rPr>
                <w:sz w:val="21"/>
              </w:rPr>
              <w:t>20%</w:t>
            </w:r>
            <w:r>
              <w:rPr>
                <w:sz w:val="21"/>
              </w:rPr>
              <w:t>～</w:t>
            </w:r>
            <w:r>
              <w:rPr>
                <w:sz w:val="21"/>
              </w:rPr>
              <w:t>80%RH（无结冰、无凝露）储藏：</w:t>
            </w:r>
            <w:r>
              <w:rPr>
                <w:sz w:val="21"/>
              </w:rPr>
              <w:t>至少</w:t>
            </w:r>
            <w:r>
              <w:rPr>
                <w:sz w:val="21"/>
              </w:rPr>
              <w:t>5%～90%RH（无结冰、无凝露）</w:t>
            </w:r>
          </w:p>
        </w:tc>
      </w:tr>
    </w:tbl>
    <w:p>
      <w:pPr>
        <w:pStyle w:val="null3"/>
        <w:spacing w:before="120"/>
        <w:ind w:left="570"/>
        <w:jc w:val="both"/>
        <w:outlineLvl w:val="1"/>
      </w:pPr>
      <w:r>
        <w:rPr>
          <w:sz w:val="21"/>
          <w:b/>
        </w:rPr>
        <w:t>4.17.网络控制键盘</w:t>
      </w:r>
    </w:p>
    <w:tbl>
      <w:tblPr>
        <w:tblW w:w="0" w:type="auto"/>
        <w:tblBorders>
          <w:top w:val="none" w:color="000000" w:sz="4"/>
          <w:left w:val="none" w:color="000000" w:sz="4"/>
          <w:bottom w:val="none" w:color="000000" w:sz="4"/>
          <w:right w:val="none" w:color="000000" w:sz="4"/>
          <w:insideH w:val="none"/>
          <w:insideV w:val="none"/>
        </w:tblBorders>
      </w:tblPr>
      <w:tblGrid>
        <w:gridCol w:w="1826"/>
        <w:gridCol w:w="6479"/>
      </w:tblGrid>
      <w:tr>
        <w:tc>
          <w:tcPr>
            <w:tcW w:type="dxa" w:w="1826"/>
            <w:tcBorders>
              <w:top w:val="singl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b/>
              </w:rPr>
              <w:t>项目</w:t>
            </w:r>
          </w:p>
        </w:tc>
        <w:tc>
          <w:tcPr>
            <w:tcW w:type="dxa" w:w="6479"/>
            <w:tcBorders>
              <w:top w:val="singl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b/>
              </w:rPr>
              <w:t>参数描述</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显示屏</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≥10.1英寸TFT LCD，多点触控电容屏，≥1280x800</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操纵杆</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四维摇杆</w:t>
            </w:r>
          </w:p>
        </w:tc>
      </w:tr>
      <w:tr>
        <w:tc>
          <w:tcPr>
            <w:tcW w:type="dxa" w:w="1826"/>
            <w:vMerge w:val="restart"/>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top"/>
          </w:tcPr>
          <w:p>
            <w:pPr>
              <w:pStyle w:val="null3"/>
              <w:jc w:val="center"/>
            </w:pPr>
            <w:r>
              <w:rPr>
                <w:sz w:val="21"/>
              </w:rPr>
              <w:t>本地解码</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支持H.265/H.264/MPEG4解码</w:t>
            </w:r>
          </w:p>
        </w:tc>
      </w:tr>
      <w:tr>
        <w:tc>
          <w:tcPr>
            <w:tcW w:type="dxa" w:w="1826"/>
            <w:vMerge/>
            <w:tcBorders>
              <w:top w:val="none" w:color="000000" w:sz="4"/>
              <w:left w:val="single" w:color="000000" w:sz="4"/>
              <w:bottom w:val="single" w:color="000000" w:sz="4"/>
              <w:right w:val="single" w:color="000000" w:sz="4"/>
            </w:tcBorders>
          </w:tcP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≥4路1080P或≥1路4K</w:t>
            </w:r>
          </w:p>
        </w:tc>
      </w:tr>
      <w:tr>
        <w:tc>
          <w:tcPr>
            <w:tcW w:type="dxa" w:w="1826"/>
            <w:vMerge/>
            <w:tcBorders>
              <w:top w:val="none" w:color="000000" w:sz="4"/>
              <w:left w:val="single" w:color="000000" w:sz="4"/>
              <w:bottom w:val="single" w:color="000000" w:sz="4"/>
              <w:right w:val="single" w:color="000000" w:sz="4"/>
            </w:tcBorders>
          </w:tcP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键盘操作模式下：支持1/4/9/16画面分割</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音频输入</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≥1个，可支持语音对讲功能</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音频输出</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≥1个</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网络接口</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≥1个，100M/1000M自适应以太网口</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无线网络</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支持wifi</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USB接口</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≥2个</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视频接口</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≥1个HDMI接口，≥1个DVI接口，同源</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电源</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DC12V/POE</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功耗</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≤15W</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工作温度</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-10℃~＋55℃</w:t>
            </w:r>
          </w:p>
        </w:tc>
      </w:tr>
      <w:tr>
        <w:tc>
          <w:tcPr>
            <w:tcW w:type="dxa" w:w="1826"/>
            <w:tcBorders>
              <w:top w:val="none" w:color="000000" w:sz="4"/>
              <w:left w:val="single" w:color="000000" w:sz="4"/>
              <w:bottom w:val="single" w:color="000000" w:sz="4"/>
              <w:right w:val="single" w:color="000000" w:sz="4"/>
            </w:tcBorders>
            <w:shd w:fill="FFFFFF"/>
            <w:tcMar>
              <w:top w:type="dxa" w:w="15"/>
              <w:left w:type="dxa" w:w="15"/>
              <w:bottom w:type="dxa" w:w="0"/>
              <w:right w:type="dxa" w:w="15"/>
            </w:tcMar>
            <w:vAlign w:val="bottom"/>
          </w:tcPr>
          <w:p>
            <w:pPr>
              <w:pStyle w:val="null3"/>
              <w:jc w:val="center"/>
            </w:pPr>
            <w:r>
              <w:rPr>
                <w:sz w:val="21"/>
              </w:rPr>
              <w:t>工作湿度</w:t>
            </w:r>
          </w:p>
        </w:tc>
        <w:tc>
          <w:tcPr>
            <w:tcW w:type="dxa" w:w="6479"/>
            <w:tcBorders>
              <w:top w:val="none" w:color="000000" w:sz="4"/>
              <w:left w:val="none" w:color="000000" w:sz="4"/>
              <w:bottom w:val="single" w:color="000000" w:sz="4"/>
              <w:right w:val="single" w:color="000000" w:sz="4"/>
            </w:tcBorders>
            <w:shd w:fill="FFFFFF"/>
            <w:tcMar>
              <w:top w:type="dxa" w:w="15"/>
              <w:left w:type="dxa" w:w="15"/>
              <w:bottom w:type="dxa" w:w="0"/>
              <w:right w:type="dxa" w:w="15"/>
            </w:tcMar>
            <w:vAlign w:val="bottom"/>
          </w:tcPr>
          <w:p>
            <w:pPr>
              <w:pStyle w:val="null3"/>
              <w:jc w:val="both"/>
            </w:pPr>
            <w:r>
              <w:rPr>
                <w:sz w:val="21"/>
              </w:rPr>
              <w:t>10％~90％</w:t>
            </w:r>
          </w:p>
        </w:tc>
      </w:tr>
    </w:tbl>
    <w:p>
      <w:pPr>
        <w:pStyle w:val="null3"/>
        <w:jc w:val="both"/>
      </w:pPr>
      <w:r>
        <w:rPr>
          <w:sz w:val="21"/>
          <w:b/>
        </w:rPr>
        <w:t>三、商务要求</w:t>
      </w:r>
    </w:p>
    <w:p>
      <w:pPr>
        <w:pStyle w:val="null3"/>
        <w:ind w:firstLine="422"/>
      </w:pPr>
      <w:r>
        <w:rPr>
          <w:sz w:val="21"/>
        </w:rPr>
        <w:t>1.</w:t>
      </w:r>
      <w:r>
        <w:rPr>
          <w:sz w:val="21"/>
        </w:rPr>
        <w:t>项目管理要求</w:t>
      </w:r>
    </w:p>
    <w:p>
      <w:pPr>
        <w:pStyle w:val="null3"/>
        <w:ind w:firstLine="420"/>
      </w:pPr>
      <w:r>
        <w:rPr>
          <w:sz w:val="21"/>
        </w:rPr>
        <w:t>按照国内项目管理指南，对项目全过程、各领域进行严格管理，包括需求管理、进度管理、人力资源管理、质量管理、风险管理等，做好全面、科学、合理的项目管理计划，保证投入项目的人员组织科学、充足，项目的进度计划合理、可行，项目各阶段的跟踪管理和</w:t>
      </w:r>
      <w:r>
        <w:rPr>
          <w:sz w:val="21"/>
        </w:rPr>
        <w:t>质量保障措施完善，项目成果保管得当。</w:t>
      </w:r>
    </w:p>
    <w:p>
      <w:pPr>
        <w:pStyle w:val="null3"/>
        <w:ind w:firstLine="420"/>
      </w:pPr>
      <w:r>
        <w:rPr>
          <w:sz w:val="21"/>
        </w:rPr>
        <w:t>2.</w:t>
      </w:r>
      <w:r>
        <w:rPr>
          <w:sz w:val="21"/>
        </w:rPr>
        <w:t>报价要求</w:t>
      </w:r>
    </w:p>
    <w:p>
      <w:pPr>
        <w:pStyle w:val="null3"/>
        <w:ind w:right="45" w:firstLine="420"/>
        <w:jc w:val="both"/>
      </w:pPr>
      <w:r>
        <w:rPr>
          <w:sz w:val="21"/>
        </w:rPr>
        <w:t>（</w:t>
      </w:r>
      <w:r>
        <w:rPr>
          <w:sz w:val="21"/>
        </w:rPr>
        <w:t>1）响应报价应包括完成本项目的所有费用。在项目实施过程中，为达成项目系统建设目标，成交人须负责完成用户需求书要求的所有相关工作，响应总报价须包括设备货物采购、运送、保险费、设备安装、室内布线、系统集成、调试、试运行、验收、培训、售后服务等</w:t>
      </w:r>
      <w:r>
        <w:rPr>
          <w:sz w:val="21"/>
        </w:rPr>
        <w:t>全部费用。</w:t>
      </w:r>
    </w:p>
    <w:p>
      <w:pPr>
        <w:pStyle w:val="null3"/>
        <w:ind w:right="45" w:firstLine="420"/>
        <w:jc w:val="both"/>
      </w:pPr>
      <w:r>
        <w:rPr>
          <w:sz w:val="21"/>
        </w:rPr>
        <w:t>（</w:t>
      </w:r>
      <w:r>
        <w:rPr>
          <w:sz w:val="21"/>
        </w:rPr>
        <w:t>2）供应商不得以低于成本的报价竞争。经磋商小组对响应报价的成本清单评定，认为响应报价与市场价存在较大差异且供应商对履约能力方面无合理说明的，按“供应商报价明显低于成本价的且不能合理说明或不在规定时间内作说明”认定为未能实质性响应采购文件要求,作无效响应处理。</w:t>
      </w:r>
    </w:p>
    <w:p>
      <w:pPr>
        <w:pStyle w:val="null3"/>
        <w:ind w:firstLine="422"/>
      </w:pPr>
      <w:r>
        <w:rPr>
          <w:sz w:val="21"/>
          <w:b/>
        </w:rPr>
        <w:t>四、安装、调试、验收标准</w:t>
      </w:r>
    </w:p>
    <w:p>
      <w:pPr>
        <w:pStyle w:val="null3"/>
        <w:ind w:right="45" w:firstLine="420"/>
        <w:jc w:val="both"/>
      </w:pPr>
      <w:r>
        <w:rPr>
          <w:sz w:val="21"/>
        </w:rPr>
        <w:t>1.成交人</w:t>
      </w:r>
      <w:r>
        <w:rPr>
          <w:sz w:val="21"/>
        </w:rPr>
        <w:t>必须依照</w:t>
      </w:r>
      <w:r>
        <w:rPr>
          <w:sz w:val="21"/>
        </w:rPr>
        <w:t>磋商</w:t>
      </w:r>
      <w:r>
        <w:rPr>
          <w:sz w:val="21"/>
        </w:rPr>
        <w:t>文件的要求和</w:t>
      </w:r>
      <w:r>
        <w:rPr>
          <w:sz w:val="21"/>
        </w:rPr>
        <w:t>响应</w:t>
      </w:r>
      <w:r>
        <w:rPr>
          <w:sz w:val="21"/>
        </w:rPr>
        <w:t>文件的承诺，将设备、系统安装并调试至正常运行的最佳状态</w:t>
      </w:r>
      <w:r>
        <w:rPr>
          <w:sz w:val="21"/>
        </w:rPr>
        <w:t>且达到相关规范要求和标准</w:t>
      </w:r>
      <w:r>
        <w:rPr>
          <w:sz w:val="21"/>
        </w:rPr>
        <w:t>。</w:t>
      </w:r>
      <w:r>
        <w:rPr>
          <w:sz w:val="21"/>
        </w:rPr>
        <w:t>如果合同设备运输和安装调试过程中因事故造成货物短缺、损坏，成交人应在</w:t>
      </w:r>
      <w:r>
        <w:rPr>
          <w:sz w:val="21"/>
        </w:rPr>
        <w:t>7个</w:t>
      </w:r>
      <w:r>
        <w:rPr>
          <w:sz w:val="21"/>
        </w:rPr>
        <w:t>日历日内</w:t>
      </w:r>
      <w:r>
        <w:rPr>
          <w:sz w:val="21"/>
        </w:rPr>
        <w:t>完成换货，以保证合同设备安装调试的成功完成。换货的相关费用由成交人承担。</w:t>
      </w:r>
    </w:p>
    <w:p>
      <w:pPr>
        <w:pStyle w:val="null3"/>
        <w:ind w:right="45" w:firstLine="420"/>
        <w:jc w:val="both"/>
      </w:pPr>
      <w:r>
        <w:rPr>
          <w:sz w:val="21"/>
        </w:rPr>
        <w:t>2.</w:t>
      </w:r>
      <w:r>
        <w:rPr>
          <w:sz w:val="21"/>
        </w:rPr>
        <w:t>货物若有国家标准按照国家标准验收，若无国家标准按行业标准验收</w:t>
      </w:r>
      <w:r>
        <w:rPr>
          <w:sz w:val="21"/>
        </w:rPr>
        <w:t>。</w:t>
      </w:r>
    </w:p>
    <w:p>
      <w:pPr>
        <w:pStyle w:val="null3"/>
        <w:ind w:right="45" w:firstLine="420"/>
        <w:jc w:val="both"/>
      </w:pPr>
      <w:r>
        <w:rPr>
          <w:sz w:val="21"/>
        </w:rPr>
        <w:t>3.为</w:t>
      </w:r>
      <w:r>
        <w:rPr>
          <w:sz w:val="21"/>
        </w:rPr>
        <w:t>保证项目质量，</w:t>
      </w:r>
      <w:r>
        <w:rPr>
          <w:sz w:val="21"/>
        </w:rPr>
        <w:t>采购人有权在项目实施过程中对成交人的施工</w:t>
      </w:r>
      <w:r>
        <w:rPr>
          <w:sz w:val="21"/>
        </w:rPr>
        <w:t>、安装等</w:t>
      </w:r>
      <w:r>
        <w:rPr>
          <w:sz w:val="21"/>
        </w:rPr>
        <w:t>工作进行监督，组织审定项目实施进度计划，对整个项目的服务内容进行核准认定，共同对建设</w:t>
      </w:r>
      <w:r>
        <w:rPr>
          <w:sz w:val="21"/>
        </w:rPr>
        <w:t>工作</w:t>
      </w:r>
      <w:r>
        <w:rPr>
          <w:sz w:val="21"/>
        </w:rPr>
        <w:t>进行各项测试直至验收完成。</w:t>
      </w:r>
    </w:p>
    <w:p>
      <w:pPr>
        <w:pStyle w:val="null3"/>
        <w:ind w:right="45" w:firstLine="420"/>
        <w:jc w:val="both"/>
      </w:pPr>
      <w:r>
        <w:rPr>
          <w:sz w:val="21"/>
        </w:rPr>
        <w:t>4.</w:t>
      </w:r>
      <w:r>
        <w:rPr>
          <w:sz w:val="21"/>
        </w:rPr>
        <w:t>成交人应根据系统设计方案提出验收方案和验收文档清单，用户可根据合同、需求说明书的有关规定对验收规范和内容进行修改和补充，经双方确认后形成验收文件作为验收依据。</w:t>
      </w:r>
    </w:p>
    <w:p>
      <w:pPr>
        <w:pStyle w:val="null3"/>
        <w:ind w:right="45" w:firstLine="420"/>
        <w:jc w:val="both"/>
      </w:pPr>
      <w:r>
        <w:rPr>
          <w:sz w:val="21"/>
        </w:rPr>
        <w:t>5.</w:t>
      </w:r>
      <w:r>
        <w:rPr>
          <w:sz w:val="21"/>
        </w:rPr>
        <w:t>采购人组成验收小组按国家有关规定、规范</w:t>
      </w:r>
      <w:r>
        <w:rPr>
          <w:sz w:val="21"/>
        </w:rPr>
        <w:t>及验收文件</w:t>
      </w:r>
      <w:r>
        <w:rPr>
          <w:sz w:val="21"/>
        </w:rPr>
        <w:t>进行验收，邀请相关的专业人员或机构</w:t>
      </w:r>
      <w:r>
        <w:rPr>
          <w:sz w:val="21"/>
        </w:rPr>
        <w:t>进行</w:t>
      </w:r>
      <w:r>
        <w:rPr>
          <w:sz w:val="21"/>
        </w:rPr>
        <w:t>验收。因货物质量问题发生争议时，由本地质量技术监督部门鉴定。货物符合质量技术标准的，鉴定费由采购人承担；否则鉴定费由</w:t>
      </w:r>
      <w:r>
        <w:rPr>
          <w:sz w:val="21"/>
        </w:rPr>
        <w:t>成交人</w:t>
      </w:r>
      <w:r>
        <w:rPr>
          <w:sz w:val="21"/>
        </w:rPr>
        <w:t>承担。</w:t>
      </w:r>
    </w:p>
    <w:p>
      <w:pPr>
        <w:pStyle w:val="null3"/>
        <w:ind w:right="45" w:firstLine="420"/>
        <w:jc w:val="both"/>
      </w:pPr>
      <w:r>
        <w:rPr>
          <w:sz w:val="21"/>
        </w:rPr>
        <w:t>6.</w:t>
      </w:r>
      <w:r>
        <w:rPr>
          <w:sz w:val="21"/>
        </w:rPr>
        <w:t>成交人负责在验收前将运行稳定可靠的安装程序以及全部相关的设计、安装、测试、验收报告等文档汇集成册交付用户。</w:t>
      </w:r>
    </w:p>
    <w:p>
      <w:pPr>
        <w:pStyle w:val="null3"/>
        <w:ind w:firstLine="422"/>
      </w:pPr>
      <w:r>
        <w:rPr>
          <w:sz w:val="21"/>
          <w:b/>
        </w:rPr>
        <w:t>五、培训方案</w:t>
      </w:r>
    </w:p>
    <w:p>
      <w:pPr>
        <w:pStyle w:val="null3"/>
        <w:ind w:firstLine="420"/>
        <w:jc w:val="both"/>
      </w:pPr>
      <w:r>
        <w:rPr>
          <w:sz w:val="21"/>
        </w:rPr>
        <w:t>供应商须</w:t>
      </w:r>
      <w:r>
        <w:rPr>
          <w:sz w:val="21"/>
        </w:rPr>
        <w:t>提供所涉及系统功能、用户操作、系统运维等相关培训。须充分考虑到采购人系统管理员和普通用户的需求，提出详细的系统培训方案。培训方案取得采购人同意后方可实施。所安排的培训教员应熟练掌握和使用所培训的技术内容，培训所产生的任何相关费用由成交人负责。</w:t>
      </w:r>
    </w:p>
    <w:p>
      <w:pPr>
        <w:pStyle w:val="null3"/>
        <w:ind w:firstLine="422"/>
      </w:pPr>
      <w:r>
        <w:rPr>
          <w:sz w:val="21"/>
          <w:b/>
        </w:rPr>
        <w:t>六、</w:t>
      </w:r>
      <w:r>
        <w:rPr>
          <w:sz w:val="21"/>
          <w:b/>
        </w:rPr>
        <w:t>质保期及售后服务要求</w:t>
      </w:r>
    </w:p>
    <w:p>
      <w:pPr>
        <w:pStyle w:val="null3"/>
        <w:ind w:right="45" w:firstLine="420"/>
        <w:jc w:val="both"/>
      </w:pPr>
      <w:r>
        <w:rPr>
          <w:sz w:val="21"/>
        </w:rPr>
        <w:t>1.本项目的主要设备在非人为因素造成故障的情况下</w:t>
      </w:r>
      <w:r>
        <w:rPr>
          <w:sz w:val="21"/>
        </w:rPr>
        <w:t>质量保证期（简称</w:t>
      </w:r>
      <w:r>
        <w:rPr>
          <w:sz w:val="21"/>
        </w:rPr>
        <w:t>“质保期”）为</w:t>
      </w:r>
      <w:r>
        <w:rPr>
          <w:sz w:val="21"/>
        </w:rPr>
        <w:t>：软件产品质保期为</w:t>
      </w:r>
      <w:r>
        <w:rPr>
          <w:sz w:val="21"/>
        </w:rPr>
        <w:t>3年，</w:t>
      </w:r>
      <w:r>
        <w:rPr>
          <w:sz w:val="21"/>
        </w:rPr>
        <w:t>其他货物质保期为</w:t>
      </w:r>
      <w:r>
        <w:rPr>
          <w:sz w:val="21"/>
        </w:rPr>
        <w:t>3</w:t>
      </w:r>
      <w:r>
        <w:rPr>
          <w:sz w:val="21"/>
        </w:rPr>
        <w:t>年，</w:t>
      </w:r>
      <w:r>
        <w:rPr>
          <w:sz w:val="21"/>
        </w:rPr>
        <w:t>质保期内中标人对所供货物实行</w:t>
      </w:r>
      <w:r>
        <w:rPr>
          <w:sz w:val="21"/>
        </w:rPr>
        <w:t>免费</w:t>
      </w:r>
      <w:r>
        <w:rPr>
          <w:sz w:val="21"/>
        </w:rPr>
        <w:t>包修、包换、包退、包维护保养。</w:t>
      </w:r>
      <w:r>
        <w:rPr>
          <w:sz w:val="21"/>
        </w:rPr>
        <w:t>（如技术参数中有具体要求，按具体要求执行）</w:t>
      </w:r>
    </w:p>
    <w:p>
      <w:pPr>
        <w:pStyle w:val="null3"/>
        <w:ind w:right="45" w:firstLine="420"/>
        <w:jc w:val="both"/>
      </w:pPr>
      <w:r>
        <w:rPr>
          <w:sz w:val="21"/>
        </w:rPr>
        <w:t>2.成交人提供终身维修服务，在</w:t>
      </w:r>
      <w:r>
        <w:rPr>
          <w:sz w:val="21"/>
        </w:rPr>
        <w:t>质保期</w:t>
      </w:r>
      <w:r>
        <w:rPr>
          <w:sz w:val="21"/>
        </w:rPr>
        <w:t>外发生的质量问题，由成交人负责解决，采购人应支付相应的费用。提供</w:t>
      </w:r>
      <w:r>
        <w:rPr>
          <w:sz w:val="21"/>
        </w:rPr>
        <w:t>7×24小时的实时技术支持，</w:t>
      </w:r>
      <w:r>
        <w:rPr>
          <w:sz w:val="21"/>
        </w:rPr>
        <w:t>1小时内响应，4小时内到达现场，48小时内处理完毕。若在48小时内仍未能有效解决，乙方须免费提供</w:t>
      </w:r>
      <w:r>
        <w:rPr>
          <w:sz w:val="21"/>
        </w:rPr>
        <w:t>相同功能档次</w:t>
      </w:r>
      <w:r>
        <w:rPr>
          <w:sz w:val="21"/>
        </w:rPr>
        <w:t>的设备予甲方临时使用。</w:t>
      </w:r>
    </w:p>
    <w:p>
      <w:pPr>
        <w:pStyle w:val="null3"/>
        <w:ind w:right="45" w:firstLine="420"/>
        <w:jc w:val="both"/>
      </w:pPr>
      <w:r>
        <w:rPr>
          <w:sz w:val="21"/>
        </w:rPr>
        <w:t>3.提供应用软件系统扩充，升级方面的技术支持服务。</w:t>
      </w:r>
    </w:p>
    <w:p>
      <w:pPr>
        <w:pStyle w:val="null3"/>
        <w:ind w:right="45" w:firstLine="420"/>
        <w:jc w:val="both"/>
      </w:pPr>
      <w:r>
        <w:rPr>
          <w:sz w:val="21"/>
        </w:rPr>
        <w:t>4.在实施及免费维护期内，应满足所提供软件的功能模块客户化需求。</w:t>
      </w:r>
    </w:p>
    <w:p>
      <w:pPr>
        <w:pStyle w:val="null3"/>
        <w:ind w:firstLine="422"/>
      </w:pPr>
      <w:r>
        <w:rPr>
          <w:sz w:val="21"/>
          <w:b/>
        </w:rPr>
        <w:t>七、付款方式</w:t>
      </w:r>
    </w:p>
    <w:p>
      <w:pPr>
        <w:pStyle w:val="null3"/>
        <w:ind w:firstLine="420"/>
        <w:jc w:val="both"/>
      </w:pPr>
      <w:r>
        <w:rPr>
          <w:sz w:val="21"/>
        </w:rPr>
        <w:t>1.</w:t>
      </w:r>
      <w:r>
        <w:rPr>
          <w:sz w:val="21"/>
        </w:rPr>
        <w:t>合同签订生效后的</w:t>
      </w:r>
      <w:r>
        <w:rPr>
          <w:sz w:val="21"/>
        </w:rPr>
        <w:t>30</w:t>
      </w:r>
      <w:r>
        <w:rPr>
          <w:sz w:val="21"/>
        </w:rPr>
        <w:t>个工作日内，将合同金额的</w:t>
      </w:r>
      <w:r>
        <w:rPr>
          <w:sz w:val="21"/>
        </w:rPr>
        <w:t>40</w:t>
      </w:r>
      <w:r>
        <w:rPr>
          <w:sz w:val="21"/>
        </w:rPr>
        <w:t>％支付给成交</w:t>
      </w:r>
      <w:r>
        <w:rPr>
          <w:sz w:val="21"/>
        </w:rPr>
        <w:t>人作为预付款</w:t>
      </w:r>
      <w:r>
        <w:rPr>
          <w:sz w:val="21"/>
        </w:rPr>
        <w:t>。</w:t>
      </w:r>
    </w:p>
    <w:p>
      <w:pPr>
        <w:pStyle w:val="null3"/>
        <w:ind w:firstLine="420"/>
        <w:jc w:val="both"/>
      </w:pPr>
      <w:r>
        <w:rPr>
          <w:sz w:val="21"/>
        </w:rPr>
        <w:t>2.</w:t>
      </w:r>
      <w:r>
        <w:rPr>
          <w:sz w:val="21"/>
        </w:rPr>
        <w:t>项目设备安装调试初步验收合格后的</w:t>
      </w:r>
      <w:r>
        <w:rPr>
          <w:sz w:val="21"/>
        </w:rPr>
        <w:t>30</w:t>
      </w:r>
      <w:r>
        <w:rPr>
          <w:sz w:val="21"/>
        </w:rPr>
        <w:t>个工作日内，将合同金额的</w:t>
      </w:r>
      <w:r>
        <w:rPr>
          <w:sz w:val="21"/>
        </w:rPr>
        <w:t>40</w:t>
      </w:r>
      <w:r>
        <w:rPr>
          <w:sz w:val="21"/>
        </w:rPr>
        <w:t>％支付给成交人。</w:t>
      </w:r>
    </w:p>
    <w:p>
      <w:pPr>
        <w:pStyle w:val="null3"/>
        <w:ind w:firstLine="420"/>
        <w:jc w:val="both"/>
      </w:pPr>
      <w:r>
        <w:rPr>
          <w:sz w:val="21"/>
        </w:rPr>
        <w:t>3.</w:t>
      </w:r>
      <w:r>
        <w:rPr>
          <w:sz w:val="21"/>
        </w:rPr>
        <w:t>项目设备安装调试最终验收合格后的</w:t>
      </w:r>
      <w:r>
        <w:rPr>
          <w:sz w:val="21"/>
        </w:rPr>
        <w:t>30</w:t>
      </w:r>
      <w:r>
        <w:rPr>
          <w:sz w:val="21"/>
        </w:rPr>
        <w:t>个工作日内，将合同金额的</w:t>
      </w:r>
      <w:r>
        <w:rPr>
          <w:sz w:val="21"/>
        </w:rPr>
        <w:t>20</w:t>
      </w:r>
      <w:r>
        <w:rPr>
          <w:sz w:val="21"/>
        </w:rPr>
        <w:t>％支付给成交人。</w:t>
      </w:r>
    </w:p>
    <w:p>
      <w:pPr>
        <w:pStyle w:val="null3"/>
        <w:ind w:firstLine="420"/>
        <w:jc w:val="both"/>
      </w:pPr>
      <w:r>
        <w:rPr>
          <w:sz w:val="21"/>
        </w:rPr>
        <w:t>4.</w:t>
      </w:r>
      <w:r>
        <w:rPr>
          <w:sz w:val="21"/>
        </w:rPr>
        <w:t>因采购人使用的是财政资金，采购人规定的付款时间为向财政部门提出办理财政支付申请手续的时间</w:t>
      </w:r>
      <w:r>
        <w:rPr>
          <w:sz w:val="21"/>
        </w:rPr>
        <w:t>(</w:t>
      </w:r>
      <w:r>
        <w:rPr>
          <w:sz w:val="21"/>
        </w:rPr>
        <w:t>不含政府财政支付部门审核的时间</w:t>
      </w:r>
      <w:r>
        <w:rPr>
          <w:sz w:val="21"/>
        </w:rPr>
        <w:t>)</w:t>
      </w:r>
      <w:r>
        <w:rPr>
          <w:sz w:val="21"/>
        </w:rPr>
        <w:t>，在规定时间内提出支付申请手续后即视为采购人已经按期支付。</w:t>
      </w:r>
    </w:p>
    <w:p>
      <w:pPr>
        <w:pStyle w:val="null3"/>
      </w:pPr>
      <w:r>
        <w:rPr/>
        <w:t>采购包1（民众街道多宝路段和阳光大道等路段违法抓拍系统及交通信号灯后台建设项目）</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标的提供的时间</w:t>
            </w:r>
          </w:p>
        </w:tc>
        <w:tc>
          <w:tcPr>
            <w:tcW w:type="dxa" w:w="4153"/>
          </w:tcPr>
          <w:p>
            <w:pPr>
              <w:pStyle w:val="null3"/>
            </w:pPr>
            <w:r>
              <w:rPr/>
              <w:t>合同签订之日起100个日历天内完成所有设施的安装部署并通过初步验收，设备建设安装调试完成试运行10个日历天后5个工作日内组织验收。</w:t>
            </w:r>
          </w:p>
        </w:tc>
      </w:tr>
      <w:tr>
        <w:tc>
          <w:tcPr>
            <w:tcW w:type="dxa" w:w="4153"/>
          </w:tcPr>
          <w:p>
            <w:pPr>
              <w:pStyle w:val="null3"/>
            </w:pPr>
            <w:r>
              <w:rPr/>
              <w:t>标的提供的地点</w:t>
            </w:r>
          </w:p>
        </w:tc>
        <w:tc>
          <w:tcPr>
            <w:tcW w:type="dxa" w:w="4153"/>
          </w:tcPr>
          <w:p>
            <w:pPr>
              <w:pStyle w:val="null3"/>
            </w:pPr>
            <w:r>
              <w:rPr/>
              <w:t>采购人指定地点。</w:t>
            </w:r>
          </w:p>
        </w:tc>
      </w:tr>
      <w:tr>
        <w:tc>
          <w:tcPr>
            <w:tcW w:type="dxa" w:w="4153"/>
          </w:tcPr>
          <w:p>
            <w:pPr>
              <w:pStyle w:val="null3"/>
            </w:pPr>
            <w:r>
              <w:rPr/>
              <w:t>付款方式</w:t>
            </w:r>
          </w:p>
        </w:tc>
        <w:tc>
          <w:tcPr>
            <w:tcW w:type="dxa" w:w="4153"/>
          </w:tcPr>
          <w:p>
            <w:pPr>
              <w:pStyle w:val="null3"/>
            </w:pPr>
            <w:r>
              <w:rPr/>
              <w:t>1期：支付比例40%,合同签订生效后的30个工作日内，将合同金额的40％支付给成交人作为预付款。</w:t>
            </w:r>
          </w:p>
          <w:p>
            <w:pPr>
              <w:pStyle w:val="null3"/>
            </w:pPr>
            <w:r>
              <w:rPr/>
              <w:t>2期：支付比例40%,项目设备安装调试初步验收合格后的30个工作日内，将合同金额的40％支付给成交人。</w:t>
            </w:r>
          </w:p>
          <w:p>
            <w:pPr>
              <w:pStyle w:val="null3"/>
            </w:pPr>
            <w:r>
              <w:rPr/>
              <w:t>3期：支付比例20%,项目设备安装调试最终验收合格后的30个工作日内，将合同金额的20％支付给成交人。因采购人使用的是财政资金，采购人规定的付款时间为向财政部门提出办理财政支付申请手续的时间(不含政府财政支付部门审核的时间)，在规定时间内提出支付申请手续后即视为采购人已经按期支付。</w:t>
            </w:r>
          </w:p>
          <w:p>
            <w:pPr>
              <w:pStyle w:val="null3"/>
            </w:pPr>
            <w:r>
              <w:rPr/>
              <w:t>如项目发生合同融资，采购人应当将合同款项支付到合同约定收款账户。</w:t>
            </w:r>
          </w:p>
        </w:tc>
      </w:tr>
      <w:tr>
        <w:tc>
          <w:tcPr>
            <w:tcW w:type="dxa" w:w="4153"/>
          </w:tcPr>
          <w:p>
            <w:pPr>
              <w:pStyle w:val="null3"/>
            </w:pPr>
            <w:r>
              <w:rPr/>
              <w:t>验收要求</w:t>
            </w:r>
          </w:p>
        </w:tc>
        <w:tc>
          <w:tcPr>
            <w:tcW w:type="dxa" w:w="4153"/>
          </w:tcPr>
          <w:p>
            <w:pPr>
              <w:pStyle w:val="null3"/>
            </w:pPr>
            <w:r>
              <w:rPr/>
              <w:t>1期：详见用户需求。</w:t>
            </w:r>
          </w:p>
        </w:tc>
      </w:tr>
      <w:tr>
        <w:tc>
          <w:tcPr>
            <w:tcW w:type="dxa" w:w="4153"/>
          </w:tcPr>
          <w:p>
            <w:pPr>
              <w:pStyle w:val="null3"/>
            </w:pPr>
            <w:r>
              <w:rPr/>
              <w:t>履约保证金</w:t>
            </w:r>
          </w:p>
        </w:tc>
        <w:tc>
          <w:tcPr>
            <w:tcW w:type="dxa" w:w="4153"/>
          </w:tcPr>
          <w:p>
            <w:pPr>
              <w:pStyle w:val="null3"/>
            </w:pPr>
            <w:r>
              <w:rPr/>
              <w:t>不收取</w:t>
            </w:r>
          </w:p>
        </w:tc>
      </w:tr>
      <w:tr>
        <w:tc>
          <w:tcPr>
            <w:tcW w:type="dxa" w:w="4153"/>
          </w:tcPr>
          <w:p>
            <w:pPr>
              <w:pStyle w:val="null3"/>
            </w:pPr>
            <w:r>
              <w:rPr/>
              <w:t>其他</w:t>
            </w:r>
          </w:p>
        </w:tc>
        <w:tc>
          <w:tcPr>
            <w:tcW w:type="dxa" w:w="4153"/>
          </w:tcPr>
          <w:p>
            <w:pPr>
              <w:pStyle w:val="null3"/>
            </w:pPr>
          </w:p>
        </w:tc>
      </w:tr>
    </w:tbl>
    <w:p>
      <w:pPr>
        <w:pStyle w:val="null3"/>
      </w:pPr>
      <w:r>
        <w:rPr>
          <w:b/>
        </w:rPr>
        <w:t>2.技术标准与要求</w:t>
      </w:r>
    </w:p>
    <w:tbl>
      <w:tblPr>
        <w:tblW w:w="0" w:type="auto"/>
        <w:tblBorders>
          <w:top w:val="single"/>
          <w:left w:val="single"/>
          <w:bottom w:val="single"/>
          <w:right w:val="single"/>
          <w:insideH w:val="single"/>
          <w:insideV w:val="single"/>
        </w:tblBorders>
      </w:tblPr>
      <w:tblGrid>
        <w:gridCol w:w="933"/>
        <w:gridCol w:w="933"/>
        <w:gridCol w:w="933"/>
        <w:gridCol w:w="933"/>
        <w:gridCol w:w="933"/>
        <w:gridCol w:w="933"/>
        <w:gridCol w:w="933"/>
        <w:gridCol w:w="840"/>
        <w:gridCol w:w="933"/>
      </w:tblGrid>
      <w:tr>
        <w:tc>
          <w:tcPr>
            <w:tcW w:type="dxa" w:w="933"/>
          </w:tcPr>
          <w:p>
            <w:pPr>
              <w:pStyle w:val="null3"/>
              <w:jc w:val="center"/>
            </w:pPr>
            <w:r>
              <w:rPr/>
              <w:t>序号</w:t>
            </w:r>
          </w:p>
        </w:tc>
        <w:tc>
          <w:tcPr>
            <w:tcW w:type="dxa" w:w="933"/>
          </w:tcPr>
          <w:p>
            <w:pPr>
              <w:pStyle w:val="null3"/>
              <w:jc w:val="center"/>
            </w:pPr>
            <w:r>
              <w:rPr/>
              <w:t>品目名称</w:t>
            </w:r>
          </w:p>
        </w:tc>
        <w:tc>
          <w:tcPr>
            <w:tcW w:type="dxa" w:w="933"/>
          </w:tcPr>
          <w:p>
            <w:pPr>
              <w:pStyle w:val="null3"/>
              <w:jc w:val="center"/>
            </w:pPr>
            <w:r>
              <w:rPr/>
              <w:t>标的名称</w:t>
            </w:r>
          </w:p>
        </w:tc>
        <w:tc>
          <w:tcPr>
            <w:tcW w:type="dxa" w:w="933"/>
          </w:tcPr>
          <w:p>
            <w:pPr>
              <w:pStyle w:val="null3"/>
              <w:jc w:val="center"/>
            </w:pPr>
            <w:r>
              <w:rPr/>
              <w:t>单位</w:t>
            </w:r>
          </w:p>
        </w:tc>
        <w:tc>
          <w:tcPr>
            <w:tcW w:type="dxa" w:w="933"/>
          </w:tcPr>
          <w:p>
            <w:pPr>
              <w:pStyle w:val="null3"/>
              <w:jc w:val="center"/>
            </w:pPr>
            <w:r>
              <w:rPr/>
              <w:t>数量</w:t>
            </w:r>
          </w:p>
        </w:tc>
        <w:tc>
          <w:tcPr>
            <w:tcW w:type="dxa" w:w="933"/>
          </w:tcPr>
          <w:p>
            <w:pPr>
              <w:pStyle w:val="null3"/>
              <w:jc w:val="center"/>
            </w:pPr>
            <w:r>
              <w:rPr/>
              <w:t>分项预算单价（元）</w:t>
            </w:r>
          </w:p>
        </w:tc>
        <w:tc>
          <w:tcPr>
            <w:tcW w:type="dxa" w:w="933"/>
          </w:tcPr>
          <w:p>
            <w:pPr>
              <w:pStyle w:val="null3"/>
              <w:jc w:val="center"/>
            </w:pPr>
            <w:r>
              <w:rPr/>
              <w:t>分项预算总价（元）</w:t>
            </w:r>
          </w:p>
        </w:tc>
        <w:tc>
          <w:tcPr>
            <w:tcW w:type="dxa" w:w="840"/>
          </w:tcPr>
          <w:p>
            <w:pPr>
              <w:pStyle w:val="null3"/>
            </w:pPr>
            <w:r>
              <w:rPr/>
              <w:t>所属行业</w:t>
            </w:r>
          </w:p>
        </w:tc>
        <w:tc>
          <w:tcPr>
            <w:tcW w:type="dxa" w:w="933"/>
          </w:tcPr>
          <w:p>
            <w:pPr>
              <w:pStyle w:val="null3"/>
              <w:jc w:val="center"/>
            </w:pPr>
            <w:r>
              <w:rPr/>
              <w:t>技术要求</w:t>
            </w:r>
          </w:p>
        </w:tc>
      </w:tr>
      <w:tr>
        <w:tc>
          <w:tcPr>
            <w:tcW w:type="dxa" w:w="933"/>
          </w:tcPr>
          <w:p>
            <w:pPr>
              <w:pStyle w:val="null3"/>
              <w:jc w:val="center"/>
            </w:pPr>
            <w:r>
              <w:rPr/>
              <w:t>1</w:t>
            </w:r>
          </w:p>
        </w:tc>
        <w:tc>
          <w:tcPr>
            <w:tcW w:type="dxa" w:w="933"/>
          </w:tcPr>
          <w:p>
            <w:pPr>
              <w:pStyle w:val="null3"/>
              <w:jc w:val="left"/>
            </w:pPr>
            <w:r>
              <w:rPr/>
              <w:t>其他通信设备</w:t>
            </w:r>
          </w:p>
        </w:tc>
        <w:tc>
          <w:tcPr>
            <w:tcW w:type="dxa" w:w="933"/>
          </w:tcPr>
          <w:p>
            <w:pPr>
              <w:pStyle w:val="null3"/>
              <w:jc w:val="left"/>
            </w:pPr>
            <w:r>
              <w:rPr/>
              <w:t>民众街道多宝路段和阳光大道等路段违法抓拍系统及交通信号灯后台建设项目</w:t>
            </w:r>
          </w:p>
        </w:tc>
        <w:tc>
          <w:tcPr>
            <w:tcW w:type="dxa" w:w="933"/>
          </w:tcPr>
          <w:p>
            <w:pPr>
              <w:pStyle w:val="null3"/>
              <w:jc w:val="left"/>
            </w:pPr>
            <w:r>
              <w:rPr/>
              <w:t>批</w:t>
            </w:r>
          </w:p>
        </w:tc>
        <w:tc>
          <w:tcPr>
            <w:tcW w:type="dxa" w:w="933"/>
          </w:tcPr>
          <w:p>
            <w:pPr>
              <w:pStyle w:val="null3"/>
              <w:jc w:val="right"/>
            </w:pPr>
            <w:r>
              <w:rPr/>
              <w:t>1.00</w:t>
            </w:r>
          </w:p>
        </w:tc>
        <w:tc>
          <w:tcPr>
            <w:tcW w:type="dxa" w:w="933"/>
          </w:tcPr>
          <w:p>
            <w:pPr>
              <w:pStyle w:val="null3"/>
              <w:jc w:val="right"/>
            </w:pPr>
            <w:r>
              <w:rPr/>
              <w:t>2,285,891.45</w:t>
            </w:r>
          </w:p>
        </w:tc>
        <w:tc>
          <w:tcPr>
            <w:tcW w:type="dxa" w:w="933"/>
          </w:tcPr>
          <w:p>
            <w:pPr>
              <w:pStyle w:val="null3"/>
              <w:jc w:val="right"/>
            </w:pPr>
            <w:r>
              <w:rPr/>
              <w:t>2,285,891.45</w:t>
            </w:r>
          </w:p>
        </w:tc>
        <w:tc>
          <w:tcPr>
            <w:tcW w:type="dxa" w:w="840"/>
          </w:tcPr>
          <w:p>
            <w:pPr>
              <w:pStyle w:val="null3"/>
            </w:pPr>
            <w:r>
              <w:rPr/>
              <w:t>软件和信息技术服务业</w:t>
            </w:r>
          </w:p>
        </w:tc>
        <w:tc>
          <w:tcPr>
            <w:tcW w:type="dxa" w:w="933"/>
          </w:tcPr>
          <w:p>
            <w:pPr>
              <w:pStyle w:val="null3"/>
            </w:pPr>
            <w:r>
              <w:rPr/>
              <w:t>详见附表一</w:t>
            </w:r>
          </w:p>
        </w:tc>
      </w:tr>
      <w:tr>
        <w:tc>
          <w:tcPr>
            <w:tcW w:type="dxa" w:w="933"/>
          </w:tcPr>
          <w:p>
            <w:pPr>
              <w:pStyle w:val="null3"/>
              <w:jc w:val="center"/>
            </w:pPr>
            <w:r>
              <w:rPr/>
              <w:t>2</w:t>
            </w:r>
          </w:p>
        </w:tc>
        <w:tc>
          <w:tcPr>
            <w:tcW w:type="dxa" w:w="933"/>
          </w:tcPr>
          <w:p>
            <w:pPr>
              <w:pStyle w:val="null3"/>
              <w:jc w:val="left"/>
            </w:pPr>
            <w:r>
              <w:rPr/>
              <w:t>其他通信设备</w:t>
            </w:r>
          </w:p>
        </w:tc>
        <w:tc>
          <w:tcPr>
            <w:tcW w:type="dxa" w:w="933"/>
          </w:tcPr>
          <w:p>
            <w:pPr>
              <w:pStyle w:val="null3"/>
              <w:jc w:val="left"/>
            </w:pPr>
            <w:r>
              <w:rPr/>
              <w:t>多功能补光灯</w:t>
            </w:r>
          </w:p>
        </w:tc>
        <w:tc>
          <w:tcPr>
            <w:tcW w:type="dxa" w:w="933"/>
          </w:tcPr>
          <w:p>
            <w:pPr>
              <w:pStyle w:val="null3"/>
              <w:jc w:val="left"/>
            </w:pPr>
            <w:r>
              <w:rPr/>
              <w:t>台</w:t>
            </w:r>
          </w:p>
        </w:tc>
        <w:tc>
          <w:tcPr>
            <w:tcW w:type="dxa" w:w="933"/>
          </w:tcPr>
          <w:p>
            <w:pPr>
              <w:pStyle w:val="null3"/>
              <w:jc w:val="right"/>
            </w:pPr>
            <w:r>
              <w:rPr/>
              <w:t>47.00</w:t>
            </w:r>
          </w:p>
        </w:tc>
        <w:tc>
          <w:tcPr>
            <w:tcW w:type="dxa" w:w="933"/>
          </w:tcPr>
          <w:p>
            <w:pPr>
              <w:pStyle w:val="null3"/>
              <w:jc w:val="right"/>
            </w:pPr>
            <w:r>
              <w:rPr/>
              <w:t>1,993.69</w:t>
            </w:r>
          </w:p>
        </w:tc>
        <w:tc>
          <w:tcPr>
            <w:tcW w:type="dxa" w:w="933"/>
          </w:tcPr>
          <w:p>
            <w:pPr>
              <w:pStyle w:val="null3"/>
              <w:jc w:val="right"/>
            </w:pPr>
            <w:r>
              <w:rPr/>
              <w:t>93,703.43</w:t>
            </w:r>
          </w:p>
        </w:tc>
        <w:tc>
          <w:tcPr>
            <w:tcW w:type="dxa" w:w="840"/>
          </w:tcPr>
          <w:p>
            <w:pPr>
              <w:pStyle w:val="null3"/>
            </w:pPr>
            <w:r>
              <w:rPr/>
              <w:t>软件和信息技术服务业</w:t>
            </w:r>
          </w:p>
        </w:tc>
        <w:tc>
          <w:tcPr>
            <w:tcW w:type="dxa" w:w="933"/>
          </w:tcPr>
          <w:p>
            <w:pPr>
              <w:pStyle w:val="null3"/>
            </w:pPr>
            <w:r>
              <w:rPr/>
              <w:t>详见附表二</w:t>
            </w:r>
          </w:p>
        </w:tc>
      </w:tr>
    </w:tbl>
    <w:p>
      <w:pPr>
        <w:pStyle w:val="null3"/>
      </w:pPr>
      <w:r>
        <w:rPr>
          <w:b/>
        </w:rPr>
        <w:t>附表</w:t>
      </w:r>
      <w:r>
        <w:rPr>
          <w:b/>
        </w:rPr>
        <w:t>一</w:t>
      </w:r>
      <w:r>
        <w:rPr>
          <w:b/>
        </w:rPr>
        <w:t>：</w:t>
      </w:r>
      <w:r>
        <w:rPr>
          <w:b/>
        </w:rPr>
        <w:t>民众街道多宝路段和阳光大道等路段违法抓拍系统及交通信号灯后台建设项目</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pPr>
              <w:pStyle w:val="null3"/>
            </w:pPr>
            <w:r>
              <w:rPr/>
              <w:t>▲</w:t>
            </w:r>
          </w:p>
        </w:tc>
        <w:tc>
          <w:tcPr>
            <w:tcW w:type="dxa" w:w="415"/>
          </w:tcPr>
          <w:p>
            <w:pPr>
              <w:pStyle w:val="null3"/>
            </w:pPr>
            <w:r>
              <w:rPr/>
              <w:t>1</w:t>
            </w:r>
          </w:p>
        </w:tc>
        <w:tc>
          <w:tcPr>
            <w:tcW w:type="dxa" w:w="5814"/>
          </w:tcPr>
          <w:p>
            <w:pPr>
              <w:pStyle w:val="null3"/>
              <w:jc w:val="both"/>
            </w:pPr>
            <w:r>
              <w:rPr>
                <w:sz w:val="21"/>
                <w:color w:val="000000"/>
              </w:rPr>
              <w:t>▲</w:t>
            </w:r>
            <w:r>
              <w:rPr>
                <w:sz w:val="21"/>
                <w:color w:val="000000"/>
              </w:rPr>
              <w:t>≥</w:t>
            </w:r>
            <w:r>
              <w:rPr>
                <w:sz w:val="21"/>
                <w:color w:val="000000"/>
              </w:rPr>
              <w:t>4096(H)×2160(V)</w:t>
            </w:r>
            <w:r>
              <w:rPr>
                <w:sz w:val="21"/>
                <w:color w:val="000000"/>
              </w:rPr>
              <w:t>（提供公安部检测机构出具的检测报告复印件证明，注明</w:t>
            </w:r>
            <w:r>
              <w:rPr>
                <w:sz w:val="21"/>
                <w:color w:val="000000"/>
              </w:rPr>
              <w:t>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2</w:t>
            </w:r>
          </w:p>
        </w:tc>
        <w:tc>
          <w:tcPr>
            <w:tcW w:type="dxa" w:w="5814"/>
          </w:tcPr>
          <w:p>
            <w:pPr>
              <w:pStyle w:val="null3"/>
              <w:jc w:val="both"/>
            </w:pPr>
            <w:r>
              <w:rPr>
                <w:sz w:val="21"/>
                <w:color w:val="000000"/>
              </w:rPr>
              <w:t>▲</w:t>
            </w:r>
            <w:r>
              <w:rPr>
                <w:sz w:val="21"/>
                <w:color w:val="000000"/>
              </w:rPr>
              <w:t>支持识别不少于</w:t>
            </w:r>
            <w:r>
              <w:rPr>
                <w:sz w:val="21"/>
                <w:color w:val="000000"/>
              </w:rPr>
              <w:t>39 种车身颜色，包括白、黑、红、黄、灰、蓝、绿、粉、紫、暗紫、棕、栗色、银灰、暗灰、白烟、深橙、浅玫瑰、番茄红、橄榄、金、暗橄榄、黄绿、绿黄、森林绿、海洋绿、深天蓝、青、深蓝、深红、深绿、深黄、深粉、深紫、深棕、深青、橙、深金、粉红、其他；支持识别车身副颜色</w:t>
            </w:r>
            <w:r>
              <w:rPr>
                <w:sz w:val="21"/>
                <w:color w:val="000000"/>
              </w:rPr>
              <w:t>（提供公安部检测机构出具的检测报告复印件证明，注明采购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3</w:t>
            </w:r>
          </w:p>
        </w:tc>
        <w:tc>
          <w:tcPr>
            <w:tcW w:type="dxa" w:w="5814"/>
          </w:tcPr>
          <w:p>
            <w:pPr>
              <w:pStyle w:val="null3"/>
              <w:jc w:val="both"/>
            </w:pPr>
            <w:r>
              <w:rPr>
                <w:sz w:val="21"/>
                <w:color w:val="000000"/>
              </w:rPr>
              <w:t>▲</w:t>
            </w:r>
            <w:r>
              <w:rPr>
                <w:sz w:val="21"/>
                <w:color w:val="000000"/>
              </w:rPr>
              <w:t>网络直连情况下，在只输出主码流、</w:t>
            </w:r>
            <w:r>
              <w:rPr>
                <w:sz w:val="21"/>
                <w:color w:val="000000"/>
              </w:rPr>
              <w:t>≥</w:t>
            </w:r>
            <w:r>
              <w:rPr>
                <w:sz w:val="21"/>
                <w:color w:val="000000"/>
              </w:rPr>
              <w:t>分辨率设置为</w:t>
            </w:r>
            <w:r>
              <w:rPr>
                <w:sz w:val="21"/>
                <w:color w:val="000000"/>
              </w:rPr>
              <w:t>1920×1080、</w:t>
            </w:r>
            <w:r>
              <w:rPr>
                <w:sz w:val="21"/>
                <w:color w:val="000000"/>
              </w:rPr>
              <w:t>≥</w:t>
            </w:r>
            <w:r>
              <w:rPr>
                <w:sz w:val="21"/>
                <w:color w:val="000000"/>
              </w:rPr>
              <w:t>帧率设置为</w:t>
            </w:r>
            <w:r>
              <w:rPr>
                <w:sz w:val="21"/>
                <w:color w:val="000000"/>
              </w:rPr>
              <w:t xml:space="preserve">25fps, </w:t>
            </w:r>
            <w:r>
              <w:rPr>
                <w:sz w:val="21"/>
                <w:color w:val="000000"/>
              </w:rPr>
              <w:t>≥</w:t>
            </w:r>
            <w:r>
              <w:rPr>
                <w:sz w:val="21"/>
                <w:color w:val="000000"/>
              </w:rPr>
              <w:t>码率设置为</w:t>
            </w:r>
            <w:r>
              <w:rPr>
                <w:sz w:val="21"/>
                <w:color w:val="000000"/>
              </w:rPr>
              <w:t>1Mbps，网络协议为UDP、最短延时、智能分析关闭时，视频图像传输至客户端的延时时间小于等于70ms</w:t>
            </w:r>
            <w:r>
              <w:rPr>
                <w:sz w:val="21"/>
                <w:color w:val="000000"/>
              </w:rPr>
              <w:t>（提供公安部检测机构出具的检测报告复印件证明，注明采购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4</w:t>
            </w:r>
          </w:p>
        </w:tc>
        <w:tc>
          <w:tcPr>
            <w:tcW w:type="dxa" w:w="5814"/>
          </w:tcPr>
          <w:p>
            <w:pPr>
              <w:pStyle w:val="null3"/>
              <w:jc w:val="both"/>
            </w:pPr>
            <w:r>
              <w:rPr>
                <w:sz w:val="21"/>
                <w:color w:val="000000"/>
              </w:rPr>
              <w:t>▲</w:t>
            </w:r>
            <w:r>
              <w:rPr>
                <w:sz w:val="21"/>
                <w:color w:val="000000"/>
              </w:rPr>
              <w:t>≥</w:t>
            </w:r>
            <w:r>
              <w:rPr>
                <w:sz w:val="21"/>
                <w:color w:val="000000"/>
              </w:rPr>
              <w:t>2448(H)×2048(V)</w:t>
            </w:r>
            <w:r>
              <w:rPr>
                <w:sz w:val="21"/>
                <w:color w:val="000000"/>
              </w:rPr>
              <w:t>（提供公安部检测机构出具的检测报告复印件证明，注明采购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5</w:t>
            </w:r>
          </w:p>
        </w:tc>
        <w:tc>
          <w:tcPr>
            <w:tcW w:type="dxa" w:w="5814"/>
          </w:tcPr>
          <w:p>
            <w:pPr>
              <w:pStyle w:val="null3"/>
              <w:jc w:val="both"/>
            </w:pPr>
            <w:r>
              <w:rPr>
                <w:sz w:val="21"/>
                <w:color w:val="000000"/>
              </w:rPr>
              <w:t>▲</w:t>
            </w:r>
            <w:r>
              <w:rPr>
                <w:sz w:val="21"/>
                <w:color w:val="000000"/>
              </w:rPr>
              <w:t>支持分别对</w:t>
            </w:r>
            <w:r>
              <w:rPr>
                <w:sz w:val="21"/>
                <w:color w:val="000000"/>
              </w:rPr>
              <w:t>不少于</w:t>
            </w:r>
            <w:r>
              <w:rPr>
                <w:sz w:val="21"/>
                <w:color w:val="000000"/>
              </w:rPr>
              <w:t>11种车型（大货车、中货车、小货车、客车、小轿车、中客车、危险品运输车、校车、面包车、环卫车、其他车型）进行不同超速比设置，可设置</w:t>
            </w:r>
            <w:r>
              <w:rPr>
                <w:sz w:val="21"/>
                <w:color w:val="000000"/>
              </w:rPr>
              <w:t>≥</w:t>
            </w:r>
            <w:r>
              <w:rPr>
                <w:sz w:val="21"/>
                <w:color w:val="000000"/>
              </w:rPr>
              <w:t>18个超速比区间。在相同道路上，设备支持根据不同的超速比设置对不同车型进行超速抓拍，并输出不同的超速抓拍结果及违法代码</w:t>
            </w:r>
            <w:r>
              <w:rPr>
                <w:sz w:val="21"/>
                <w:color w:val="000000"/>
              </w:rPr>
              <w:t>（提供公安部检测机构出具的检测报告复印件证明，注明采购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6</w:t>
            </w:r>
          </w:p>
        </w:tc>
        <w:tc>
          <w:tcPr>
            <w:tcW w:type="dxa" w:w="5814"/>
          </w:tcPr>
          <w:p>
            <w:pPr>
              <w:pStyle w:val="null3"/>
              <w:jc w:val="both"/>
            </w:pPr>
            <w:r>
              <w:rPr>
                <w:sz w:val="21"/>
                <w:color w:val="000000"/>
              </w:rPr>
              <w:t>▲</w:t>
            </w:r>
            <w:r>
              <w:rPr>
                <w:sz w:val="21"/>
                <w:color w:val="000000"/>
              </w:rPr>
              <w:t>支持检测并跟踪指定区域内不少于</w:t>
            </w:r>
            <w:r>
              <w:rPr>
                <w:sz w:val="21"/>
                <w:color w:val="000000"/>
              </w:rPr>
              <w:t>245个目标，目标包括机动车、非机动车以及行人</w:t>
            </w:r>
            <w:r>
              <w:rPr>
                <w:sz w:val="21"/>
                <w:color w:val="000000"/>
              </w:rPr>
              <w:t>（提供公安部检测机构出具的检测报告复印件证明，注明</w:t>
            </w:r>
            <w:r>
              <w:rPr>
                <w:sz w:val="21"/>
                <w:color w:val="000000"/>
              </w:rPr>
              <w:t>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7</w:t>
            </w:r>
          </w:p>
        </w:tc>
        <w:tc>
          <w:tcPr>
            <w:tcW w:type="dxa" w:w="5814"/>
          </w:tcPr>
          <w:p>
            <w:pPr>
              <w:pStyle w:val="null3"/>
              <w:jc w:val="both"/>
            </w:pPr>
            <w:r>
              <w:rPr>
                <w:sz w:val="21"/>
                <w:color w:val="000000"/>
              </w:rPr>
              <w:t>▲</w:t>
            </w:r>
            <w:r>
              <w:rPr>
                <w:sz w:val="21"/>
                <w:color w:val="000000"/>
              </w:rPr>
              <w:t>≥</w:t>
            </w:r>
            <w:r>
              <w:rPr>
                <w:sz w:val="21"/>
                <w:color w:val="000000"/>
              </w:rPr>
              <w:t>4096(H)×2160(V)</w:t>
            </w:r>
            <w:r>
              <w:rPr>
                <w:sz w:val="21"/>
                <w:color w:val="000000"/>
              </w:rPr>
              <w:t>（提供公安部检测机构出具的检测报告复印件证明，注明</w:t>
            </w:r>
            <w:r>
              <w:rPr>
                <w:sz w:val="21"/>
                <w:color w:val="000000"/>
              </w:rPr>
              <w:t>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8</w:t>
            </w:r>
          </w:p>
        </w:tc>
        <w:tc>
          <w:tcPr>
            <w:tcW w:type="dxa" w:w="5814"/>
          </w:tcPr>
          <w:p>
            <w:pPr>
              <w:pStyle w:val="null3"/>
              <w:jc w:val="both"/>
            </w:pPr>
            <w:r>
              <w:rPr>
                <w:sz w:val="21"/>
                <w:color w:val="000000"/>
              </w:rPr>
              <w:t>▲</w:t>
            </w:r>
            <w:r>
              <w:rPr>
                <w:sz w:val="21"/>
                <w:color w:val="000000"/>
              </w:rPr>
              <w:t>支持识别不少于</w:t>
            </w:r>
            <w:r>
              <w:rPr>
                <w:sz w:val="21"/>
                <w:color w:val="000000"/>
              </w:rPr>
              <w:t>39种车身颜色，包括白、黑、红、黄、灰、蓝、绿、粉、紫、暗紫、棕、栗色、银灰、暗灰、白烟、深橙、浅玫瑰、番茄红、橄榄、金、暗橄榄、黄绿、绿黄、森林绿、海洋绿、深天蓝、青、深蓝、深红、深绿、深黄、深粉、深紫、深棕、深青、橙、深金、粉红、其他；支持识别车身副颜色；支持识别不少于50种车型</w:t>
            </w:r>
            <w:r>
              <w:rPr>
                <w:sz w:val="21"/>
                <w:color w:val="000000"/>
              </w:rPr>
              <w:t>（提供公安部检测机构出具的检测报告复印件证明，注明</w:t>
            </w:r>
            <w:r>
              <w:rPr>
                <w:sz w:val="21"/>
                <w:color w:val="000000"/>
              </w:rPr>
              <w:t>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9</w:t>
            </w:r>
          </w:p>
        </w:tc>
        <w:tc>
          <w:tcPr>
            <w:tcW w:type="dxa" w:w="5814"/>
          </w:tcPr>
          <w:p>
            <w:pPr>
              <w:pStyle w:val="null3"/>
              <w:jc w:val="both"/>
            </w:pPr>
            <w:r>
              <w:rPr>
                <w:sz w:val="21"/>
                <w:color w:val="000000"/>
              </w:rPr>
              <w:t>▲支持对25×10 像素～1100×3000 像素的机动车车牌进行抓拍并识别。支持识别并抓拍垂直倾斜角度≤55°、水平倾斜角度≤35°、俯仰角度≤40°的机动车车牌（提供公安部检测机构出具的检测报告复印件证明，注明</w:t>
            </w:r>
            <w:r>
              <w:rPr>
                <w:sz w:val="21"/>
                <w:color w:val="000000"/>
              </w:rPr>
              <w:t>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10</w:t>
            </w:r>
          </w:p>
        </w:tc>
        <w:tc>
          <w:tcPr>
            <w:tcW w:type="dxa" w:w="5814"/>
          </w:tcPr>
          <w:p>
            <w:pPr>
              <w:pStyle w:val="null3"/>
              <w:jc w:val="both"/>
            </w:pPr>
            <w:r>
              <w:rPr>
                <w:sz w:val="21"/>
                <w:color w:val="000000"/>
              </w:rPr>
              <w:t>▲支持对摩托车闯红灯、逆行、载人、未戴头盔行为进行检测并抓拍图片；在天气晴朗无雾，车辆无遮挡，白天环境光照度不低于200lx的情况下进行测试；捕获率≥99%；检测准确率≥99%。（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11</w:t>
            </w:r>
          </w:p>
        </w:tc>
        <w:tc>
          <w:tcPr>
            <w:tcW w:type="dxa" w:w="5814"/>
          </w:tcPr>
          <w:p>
            <w:pPr>
              <w:pStyle w:val="null3"/>
              <w:jc w:val="both"/>
            </w:pPr>
            <w:r>
              <w:rPr>
                <w:sz w:val="21"/>
                <w:color w:val="000000"/>
              </w:rPr>
              <w:t>▲支持设置车辆抓拍位置到立杆的架设距离、设备架设高度，并在视频图像中显示位置信息（提供公安部检测机构出具的检测报告复印件证明，注明采购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12</w:t>
            </w:r>
          </w:p>
        </w:tc>
        <w:tc>
          <w:tcPr>
            <w:tcW w:type="dxa" w:w="5814"/>
          </w:tcPr>
          <w:p>
            <w:pPr>
              <w:pStyle w:val="null3"/>
              <w:jc w:val="both"/>
            </w:pPr>
            <w:r>
              <w:rPr>
                <w:sz w:val="21"/>
                <w:color w:val="000000"/>
              </w:rPr>
              <w:t>▲</w:t>
            </w:r>
            <w:r>
              <w:rPr>
                <w:sz w:val="21"/>
                <w:color w:val="000000"/>
              </w:rPr>
              <w:t>符合</w:t>
            </w:r>
            <w:r>
              <w:rPr>
                <w:sz w:val="21"/>
                <w:color w:val="000000"/>
              </w:rPr>
              <w:t>GA/T 1202-2022《交通技术监控成像补光装置通用技术条件》</w:t>
            </w:r>
            <w:r>
              <w:rPr>
                <w:sz w:val="21"/>
                <w:color w:val="000000"/>
              </w:rPr>
              <w:t>（提供公安部检测机构出具的检测报告复印件证明，注明采购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13</w:t>
            </w:r>
          </w:p>
        </w:tc>
        <w:tc>
          <w:tcPr>
            <w:tcW w:type="dxa" w:w="5814"/>
          </w:tcPr>
          <w:p>
            <w:pPr>
              <w:pStyle w:val="null3"/>
              <w:jc w:val="both"/>
            </w:pPr>
            <w:r>
              <w:rPr>
                <w:sz w:val="21"/>
                <w:color w:val="000000"/>
              </w:rPr>
              <w:t>▲支持</w:t>
            </w:r>
            <w:r>
              <w:rPr>
                <w:sz w:val="21"/>
                <w:color w:val="000000"/>
              </w:rPr>
              <w:t>判断是否有磁盘和录像剩余空间是否不足。支持配置抓包时长、输出路径、网卡类型、</w:t>
            </w:r>
            <w:r>
              <w:rPr>
                <w:sz w:val="21"/>
                <w:color w:val="000000"/>
              </w:rPr>
              <w:t>IP、端口等，若录像剩余空间不足 50%或者磁盘不存在，弹出提示“当前选中的磁盘空间不足，请先格式化磁盘或调整抓包输出路径”;若录像剩余空间超过 50%，则停止录像功能并输出抓包文件</w:t>
            </w:r>
            <w:r>
              <w:rPr>
                <w:sz w:val="21"/>
                <w:color w:val="000000"/>
              </w:rPr>
              <w:t>（提供公安部检测机构出具的检测报告复印件证明，注明采购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14</w:t>
            </w:r>
          </w:p>
        </w:tc>
        <w:tc>
          <w:tcPr>
            <w:tcW w:type="dxa" w:w="5814"/>
          </w:tcPr>
          <w:p>
            <w:pPr>
              <w:pStyle w:val="null3"/>
              <w:jc w:val="both"/>
            </w:pPr>
            <w:r>
              <w:rPr>
                <w:sz w:val="21"/>
                <w:color w:val="000000"/>
              </w:rPr>
              <w:t>▲</w:t>
            </w:r>
            <w:r>
              <w:rPr>
                <w:sz w:val="21"/>
                <w:color w:val="000000"/>
              </w:rPr>
              <w:t>设备</w:t>
            </w:r>
            <w:r>
              <w:rPr>
                <w:sz w:val="21"/>
                <w:color w:val="000000"/>
              </w:rPr>
              <w:t>smart 事件上报的抓图支持叠加规则区域和目标框：可配置报警抓图叠加目标信息及规则信息，支持开启及关闭；支持设置告警区域最大可包含整个监控画面；支持设置预览画面是否叠加显示规则区域框及告警提示信息</w:t>
            </w:r>
            <w:r>
              <w:rPr>
                <w:sz w:val="21"/>
                <w:color w:val="000000"/>
              </w:rPr>
              <w:t>（提供公安部检测机构出具的检测报告复印件证明，注明采购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15</w:t>
            </w:r>
          </w:p>
        </w:tc>
        <w:tc>
          <w:tcPr>
            <w:tcW w:type="dxa" w:w="5814"/>
          </w:tcPr>
          <w:p>
            <w:pPr>
              <w:pStyle w:val="null3"/>
              <w:jc w:val="both"/>
            </w:pPr>
            <w:r>
              <w:rPr>
                <w:sz w:val="21"/>
                <w:color w:val="000000"/>
              </w:rPr>
              <w:t>▲</w:t>
            </w:r>
            <w:r>
              <w:rPr>
                <w:sz w:val="21"/>
                <w:color w:val="000000"/>
              </w:rPr>
              <w:t>支持配置路段名称、路段编号、路段距离，能够对驶入驶出该路段的车辆抓拍数据匹配并计算车辆的区间速度值；支持设置过滤阈值，对异常测速结果进行过滤；支持超速检测和欠速检测，可分别设定高限速和低限速值</w:t>
            </w:r>
            <w:r>
              <w:rPr>
                <w:sz w:val="21"/>
                <w:color w:val="000000"/>
              </w:rPr>
              <w:t>（提供公安部检测机构出具的检测报告复印件证明，注明采购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16</w:t>
            </w:r>
          </w:p>
        </w:tc>
        <w:tc>
          <w:tcPr>
            <w:tcW w:type="dxa" w:w="5814"/>
          </w:tcPr>
          <w:p>
            <w:pPr>
              <w:pStyle w:val="null3"/>
              <w:jc w:val="both"/>
            </w:pPr>
            <w:r>
              <w:rPr>
                <w:sz w:val="21"/>
                <w:color w:val="000000"/>
              </w:rPr>
              <w:t>▲可接入G.711a、G.711Mu、G.722.1、G.726、G.729、PCM、AAC、MPEG2-layer2音频编码格式的IPC；可将音频采样率设置为8kHz、16kHz、32kHz、48kHz、64kHz（提供公安部检测机构出具的检测报告复印件证明，注明</w:t>
            </w:r>
            <w:r>
              <w:rPr>
                <w:sz w:val="21"/>
                <w:color w:val="000000"/>
              </w:rPr>
              <w:t>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17</w:t>
            </w:r>
          </w:p>
        </w:tc>
        <w:tc>
          <w:tcPr>
            <w:tcW w:type="dxa" w:w="5814"/>
          </w:tcPr>
          <w:p>
            <w:pPr>
              <w:pStyle w:val="null3"/>
              <w:jc w:val="both"/>
            </w:pPr>
            <w:r>
              <w:rPr>
                <w:sz w:val="21"/>
                <w:color w:val="000000"/>
              </w:rPr>
              <w:t>▲支持将原始图片、特写图片、合成图片、车牌抠图、关联录像、主驾驶人脸图片、副驾驶人脸图片、行人人脸图片、非机动车人脸图片上传至FTP服务器（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18</w:t>
            </w:r>
          </w:p>
        </w:tc>
        <w:tc>
          <w:tcPr>
            <w:tcW w:type="dxa" w:w="5814"/>
          </w:tcPr>
          <w:p>
            <w:pPr>
              <w:pStyle w:val="null3"/>
              <w:jc w:val="both"/>
            </w:pPr>
            <w:r>
              <w:rPr>
                <w:sz w:val="21"/>
                <w:color w:val="000000"/>
              </w:rPr>
              <w:t>▲支持设置最大速度阈值，控制最大显示速度；支持开启速度控制，设置安全速度阈值、告警速度阈值、超速速度阈值及对应的字体颜色，按速度区段区分显示字体颜色；支持仅超速显示车速、卡口合成上传、违法合成上传、无牌车上传、警牌上传、车牌隐私保护等多种个性发布方式；支持按图片类型区分设置显示内容和字体颜色、是否启用语音播报及播报内容，支持的图片类型有超速、违法变道、违法停车、预违停、违法倒车、逆行、卡口、未礼让行人、闯红灯、不按导向箭头行驶、车辆拥堵禁入、压白线、机占非、占用应急车道、右转不礼让行人、大弯小转、禁货等（提供公安部检测机构出具的检测报告复印件证明，注明</w:t>
            </w:r>
            <w:r>
              <w:rPr>
                <w:sz w:val="21"/>
                <w:color w:val="000000"/>
              </w:rPr>
              <w:t>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19</w:t>
            </w:r>
          </w:p>
        </w:tc>
        <w:tc>
          <w:tcPr>
            <w:tcW w:type="dxa" w:w="5814"/>
          </w:tcPr>
          <w:p>
            <w:pPr>
              <w:pStyle w:val="null3"/>
              <w:jc w:val="both"/>
            </w:pPr>
            <w:r>
              <w:rPr>
                <w:sz w:val="21"/>
                <w:color w:val="000000"/>
              </w:rPr>
              <w:t>▲支持不少于2路输出告警（提供入网检测报告复印件证明，注明采购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20</w:t>
            </w:r>
          </w:p>
        </w:tc>
        <w:tc>
          <w:tcPr>
            <w:tcW w:type="dxa" w:w="5814"/>
          </w:tcPr>
          <w:p>
            <w:pPr>
              <w:pStyle w:val="null3"/>
              <w:jc w:val="both"/>
            </w:pPr>
            <w:r>
              <w:rPr>
                <w:sz w:val="21"/>
                <w:color w:val="000000"/>
              </w:rPr>
              <w:t>▲提供入网许可证和入网检测报告，入网许可证和入网检测报告的型号需保持一致。（提供入网许可证和入网检测报告复印件证明，注明采购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21</w:t>
            </w:r>
          </w:p>
        </w:tc>
        <w:tc>
          <w:tcPr>
            <w:tcW w:type="dxa" w:w="5814"/>
          </w:tcPr>
          <w:p>
            <w:pPr>
              <w:pStyle w:val="null3"/>
              <w:jc w:val="both"/>
            </w:pPr>
            <w:r>
              <w:rPr>
                <w:sz w:val="21"/>
                <w:color w:val="000000"/>
              </w:rPr>
              <w:t>▲支持页面向导型快速配置，在配置前期，对设备进行全面的检测，包括物理环境，域环境，平台环境进行全面扫描，针对发现的异常，给出对应的提示，会明确指出异常，包括硬盘数量异常、docker服务异常、镜像等情况（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22</w:t>
            </w:r>
          </w:p>
        </w:tc>
        <w:tc>
          <w:tcPr>
            <w:tcW w:type="dxa" w:w="5814"/>
          </w:tcPr>
          <w:p>
            <w:pPr>
              <w:pStyle w:val="null3"/>
              <w:jc w:val="both"/>
            </w:pPr>
            <w:r>
              <w:rPr>
                <w:sz w:val="21"/>
                <w:color w:val="000000"/>
              </w:rPr>
              <w:t>▲可对视音频、图片、结构化数据、对象等文件进行混合存储，并可通过http和https方式下载，支持划分多个对象池，支持对象池的独立循环覆盖，并支持多种操作方式，包括创建、查询、编辑、删除等；支持对象文件下载 ；支持断点续传下载；支持流式视频文件上传、存储，支持点播回放（提供公安部检测机构出具的检测报告复印件证明，注明采购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23</w:t>
            </w:r>
          </w:p>
        </w:tc>
        <w:tc>
          <w:tcPr>
            <w:tcW w:type="dxa" w:w="5814"/>
          </w:tcPr>
          <w:p>
            <w:pPr>
              <w:pStyle w:val="null3"/>
              <w:jc w:val="both"/>
            </w:pPr>
            <w:r>
              <w:rPr>
                <w:sz w:val="21"/>
                <w:color w:val="000000"/>
              </w:rPr>
              <w:t>▲支持运维客户端监管存储设备状态，包括系统、硬盘、环控、报警、保养灯等模块，并同步实时展示；运维客户端可展示设备的在线和离线状态，并同步统计在线、离线设备的数量；针对在线设备，同步显示连接异常、警告等状态信息，并统计相关数量；运维客户端支持设备报告的管理和下载功能。支持手动下载及策略下载；可设置下载时间，下载数量，及周期性管理；可灵活配置下载周期，支持每天、每三天、每周、每月等模式的配置（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24</w:t>
            </w:r>
          </w:p>
        </w:tc>
        <w:tc>
          <w:tcPr>
            <w:tcW w:type="dxa" w:w="5814"/>
          </w:tcPr>
          <w:p>
            <w:pPr>
              <w:pStyle w:val="null3"/>
              <w:jc w:val="both"/>
            </w:pPr>
            <w:r>
              <w:rPr>
                <w:sz w:val="21"/>
                <w:color w:val="000000"/>
              </w:rPr>
              <w:t>▲支持网络RAID纠删码技术，多台存储设备组建网络RAID，设置为负载均衡；单台或多台存储设备组建网络RAID，允许每组RAID中任意1-18个磁盘发生故障，数据不丢失，存储服务不中断；允许每组RAID中任意20块硬盘发生故障，业务不中断（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w:t>
            </w:r>
          </w:p>
        </w:tc>
        <w:tc>
          <w:tcPr>
            <w:tcW w:type="dxa" w:w="415"/>
          </w:tcPr>
          <w:p>
            <w:pPr>
              <w:pStyle w:val="null3"/>
            </w:pPr>
            <w:r>
              <w:rPr/>
              <w:t>25</w:t>
            </w:r>
          </w:p>
        </w:tc>
        <w:tc>
          <w:tcPr>
            <w:tcW w:type="dxa" w:w="5814"/>
          </w:tcPr>
          <w:p>
            <w:pPr>
              <w:pStyle w:val="null3"/>
              <w:jc w:val="both"/>
            </w:pPr>
            <w:r>
              <w:rPr>
                <w:sz w:val="21"/>
                <w:color w:val="000000"/>
              </w:rPr>
              <w:t>▲支持容器镜像管理，包括容器镜像启动/暂停、业务升级/回退、上传/删除，支持添加新业务，支持修改容器镜像IP地址、业务参数，支持查看容器镜像中业务信息（</w:t>
            </w:r>
            <w:r>
              <w:rPr>
                <w:sz w:val="21"/>
                <w:color w:val="000000"/>
              </w:rPr>
              <w:t>包括但不限于</w:t>
            </w:r>
            <w:r>
              <w:rPr>
                <w:sz w:val="21"/>
                <w:color w:val="000000"/>
              </w:rPr>
              <w:t>：</w:t>
            </w:r>
            <w:r>
              <w:rPr>
                <w:sz w:val="21"/>
                <w:color w:val="000000"/>
              </w:rPr>
              <w:t>CPU使用率、内存使用量、网络流量、业务所在节点）（提供公安部检测机构出具的检测报告复印件证明，注明采购</w:t>
            </w:r>
            <w:r>
              <w:rPr>
                <w:sz w:val="21"/>
                <w:color w:val="000000"/>
              </w:rPr>
              <w:t>项目名称的水印，并加盖厂商投标专用章或公章）</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b/>
        </w:rPr>
        <w:t>附表</w:t>
      </w:r>
      <w:r>
        <w:rPr>
          <w:b/>
        </w:rPr>
        <w:t>二</w:t>
      </w:r>
      <w:r>
        <w:rPr>
          <w:b/>
        </w:rPr>
        <w:t>：</w:t>
      </w:r>
      <w:r>
        <w:rPr>
          <w:b/>
        </w:rPr>
        <w:t>多功能补光灯</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jc w:val="both"/>
            </w:pPr>
            <w:r>
              <w:rPr>
                <w:sz w:val="21"/>
              </w:rPr>
              <w:t>详见用户需求中</w:t>
            </w:r>
            <w:r>
              <w:rPr>
                <w:sz w:val="21"/>
              </w:rPr>
              <w:t>多功能补光灯</w:t>
            </w:r>
            <w:r>
              <w:rPr>
                <w:sz w:val="21"/>
              </w:rPr>
              <w:t>的技术参数。</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t xml:space="preserve">  </w:t>
      </w:r>
    </w:p>
    <w:p>
      <w:pPr>
        <w:pStyle w:val="null3"/>
        <w:jc w:val="center"/>
        <w:outlineLvl w:val="1"/>
      </w:pPr>
      <w:r>
        <w:rPr>
          <w:sz w:val="36"/>
          <w:b/>
        </w:rPr>
        <w:t>第三章 供应商须知</w:t>
      </w:r>
    </w:p>
    <w:p>
      <w:pPr>
        <w:pStyle w:val="null3"/>
        <w:ind w:firstLine="480"/>
      </w:pPr>
      <w:r>
        <w:rPr/>
        <w:t xml:space="preserve"> 供应商必须认真阅读磋商文件中所有的事项、格式、条款和采购需求等。供应商没有按照磋商文件要求提交全部资料，或者响应文件没有对磋商文件在各方面都做出实质性响应的可能导致其响应无效或被拒绝。</w:t>
      </w:r>
    </w:p>
    <w:p>
      <w:pPr>
        <w:pStyle w:val="null3"/>
        <w:ind w:firstLine="480"/>
      </w:pPr>
      <w:r>
        <w:rPr/>
        <w:t>请注意：供应商需在响应文件截止时间前，将加密响应文件上传至云平台项目采购系统中并取得回执，逾期上传或错误方式投递送达将导致响应无效。</w:t>
      </w:r>
    </w:p>
    <w:p>
      <w:pPr>
        <w:pStyle w:val="null3"/>
        <w:outlineLvl w:val="3"/>
      </w:pPr>
      <w:r>
        <w:rPr>
          <w:sz w:val="24"/>
          <w:b/>
        </w:rPr>
        <w:t>一、名词解释</w:t>
      </w:r>
    </w:p>
    <w:p>
      <w:pPr>
        <w:pStyle w:val="null3"/>
        <w:ind w:firstLine="480"/>
      </w:pPr>
      <w:r>
        <w:rPr/>
        <w:t>1.采购代理机构：本项目是指广东省建东工程监理有限公司中山分公司，负责整个采购活动的组织，依法负责编制和发布磋商文件，对磋商文件拥有最终的解释权，不以任何身份出任磋商小组成员。</w:t>
      </w:r>
    </w:p>
    <w:p>
      <w:pPr>
        <w:pStyle w:val="null3"/>
        <w:ind w:firstLine="480"/>
      </w:pPr>
      <w:r>
        <w:rPr/>
        <w:t xml:space="preserve"> 2.采购人：本项目是指</w:t>
      </w:r>
      <w:r>
        <w:rPr/>
        <w:t>中山市公安局民众分局</w:t>
      </w:r>
      <w:r>
        <w:rPr/>
        <w:t>，是采购活动当事人之一，负责项目的整体规划、技术方案可行性设计论证与实施，作为合同采购方（用户）的主体承担质疑回复、履行合同、验收与评价等义务。</w:t>
      </w:r>
    </w:p>
    <w:p>
      <w:pPr>
        <w:pStyle w:val="null3"/>
        <w:ind w:firstLine="480"/>
      </w:pPr>
      <w:r>
        <w:rPr/>
        <w:t>3.供应商：是指在云平台项目采购系统完成本项目响应登记并提交电子响应文件的供应商。</w:t>
      </w:r>
    </w:p>
    <w:p>
      <w:pPr>
        <w:pStyle w:val="null3"/>
        <w:ind w:firstLine="480"/>
      </w:pPr>
      <w:r>
        <w:rPr/>
        <w:t>4.“磋商小组”是指根据《中华人民共和国政府采购法》等法律法规规定，由采购人代表和有关专家组成以确定成交供应商或者推荐成交候选供应商的临时组织。</w:t>
      </w:r>
    </w:p>
    <w:p>
      <w:pPr>
        <w:pStyle w:val="null3"/>
        <w:ind w:firstLine="480"/>
      </w:pPr>
      <w:r>
        <w:rPr/>
        <w:t>5.“成交供应商”是指经磋商小组评审确定的对磋商文件做出实质性响应，经采购人按照规定在磋商小组推荐的成交候选供应商中确定的或磋商小组受采购人委托直接确认的供应商。</w:t>
      </w:r>
    </w:p>
    <w:p>
      <w:pPr>
        <w:pStyle w:val="null3"/>
        <w:ind w:firstLine="480"/>
      </w:pPr>
      <w:r>
        <w:rPr/>
        <w:t>6.磋商文件：是指包括磋商公告和磋商文件及其补充、变更和澄清等一系列文件。</w:t>
      </w:r>
    </w:p>
    <w:p>
      <w:pPr>
        <w:pStyle w:val="null3"/>
        <w:ind w:firstLine="480"/>
      </w:pPr>
      <w:r>
        <w:rPr/>
        <w:t>7.电子响应文件：是指使用云平台提供的投标客户端制作加密并上传到系统的响应文件。（投标客户端制作响应文件时，生成的后缀为“.标书”的文件）</w:t>
      </w:r>
    </w:p>
    <w:p>
      <w:pPr>
        <w:pStyle w:val="null3"/>
        <w:ind w:firstLine="480"/>
      </w:pPr>
      <w:r>
        <w:rPr/>
        <w:t>8.备用电子响应文件：是指使用云平台提供的投标客户端制作电子响应文件时，同时生成的同一版本的备用响应文件。（投标客户端制作响应文件时，生成的后缀为“.备用标书”的文件）</w:t>
      </w:r>
    </w:p>
    <w:p>
      <w:pPr>
        <w:pStyle w:val="null3"/>
        <w:ind w:firstLine="480"/>
      </w:pPr>
      <w:r>
        <w:rPr/>
        <w:t xml:space="preserve"> 9.电子签名和电子印章：是指获得中华人民共和国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pStyle w:val="null3"/>
        <w:ind w:firstLine="480"/>
      </w:pPr>
      <w:r>
        <w:rPr/>
        <w:t xml:space="preserve"> 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pStyle w:val="null3"/>
        <w:ind w:firstLine="480"/>
      </w:pPr>
      <w:r>
        <w:rPr/>
        <w:t xml:space="preserve"> 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pStyle w:val="null3"/>
        <w:ind w:firstLine="480"/>
      </w:pPr>
      <w:r>
        <w:rPr/>
        <w:t>12.“法定代表人”：在电子投标（响应）文件及相关的其他电子资料中，涉及“法定代表人”应在纸质投标（响应）文件上进行手写签名，或通过投标客户端使用电子签名完成。</w:t>
      </w:r>
    </w:p>
    <w:p>
      <w:pPr>
        <w:pStyle w:val="null3"/>
        <w:ind w:firstLine="480"/>
      </w:pPr>
      <w:r>
        <w:rPr/>
        <w:t>13.日期、天数、时间：未有特别说明时，均为公历日（天）及北京时间。</w:t>
      </w:r>
    </w:p>
    <w:p>
      <w:pPr>
        <w:pStyle w:val="null3"/>
        <w:outlineLvl w:val="2"/>
      </w:pPr>
      <w:r>
        <w:rPr>
          <w:sz w:val="28"/>
          <w:b/>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pPr>
              <w:pStyle w:val="null3"/>
            </w:pPr>
            <w:r>
              <w:rPr/>
              <w:t xml:space="preserve"> 本表与磋商文件对应章节的内容若不一致，以本表为准。</w:t>
            </w:r>
          </w:p>
        </w:tc>
      </w:tr>
      <w:tr>
        <w:tc>
          <w:tcPr>
            <w:tcW w:type="dxa" w:w="1051"/>
          </w:tcPr>
          <w:p>
            <w:pPr>
              <w:pStyle w:val="null3"/>
            </w:pPr>
            <w:r>
              <w:rPr/>
              <w:t xml:space="preserve"> 序号</w:t>
            </w:r>
          </w:p>
        </w:tc>
        <w:tc>
          <w:tcPr>
            <w:tcW w:type="dxa" w:w="2252"/>
          </w:tcPr>
          <w:p>
            <w:pPr>
              <w:pStyle w:val="null3"/>
            </w:pPr>
            <w:r>
              <w:rPr/>
              <w:t xml:space="preserve"> 条款名称</w:t>
            </w:r>
          </w:p>
        </w:tc>
        <w:tc>
          <w:tcPr>
            <w:tcW w:type="dxa" w:w="5004"/>
          </w:tcPr>
          <w:p>
            <w:pPr>
              <w:pStyle w:val="null3"/>
            </w:pPr>
            <w:r>
              <w:rPr/>
              <w:t xml:space="preserve"> 内容及要求</w:t>
            </w:r>
          </w:p>
        </w:tc>
      </w:tr>
      <w:tr>
        <w:tc>
          <w:tcPr>
            <w:tcW w:type="dxa" w:w="1051"/>
          </w:tcPr>
          <w:p>
            <w:pPr>
              <w:pStyle w:val="null3"/>
              <w:jc w:val="center"/>
            </w:pPr>
            <w:r>
              <w:rPr/>
              <w:t xml:space="preserve"> 1</w:t>
            </w:r>
          </w:p>
        </w:tc>
        <w:tc>
          <w:tcPr>
            <w:tcW w:type="dxa" w:w="2252"/>
          </w:tcPr>
          <w:p>
            <w:pPr>
              <w:pStyle w:val="null3"/>
            </w:pPr>
            <w:r>
              <w:rPr/>
              <w:t xml:space="preserve"> 采购包情况</w:t>
            </w:r>
          </w:p>
        </w:tc>
        <w:tc>
          <w:tcPr>
            <w:tcW w:type="dxa" w:w="5004"/>
          </w:tcPr>
          <w:p>
            <w:pPr>
              <w:pStyle w:val="null3"/>
            </w:pPr>
            <w:r>
              <w:rPr/>
              <w:t xml:space="preserve"> 本项目共</w:t>
            </w:r>
            <w:r>
              <w:rPr/>
              <w:t>1</w:t>
            </w:r>
            <w:r>
              <w:rPr/>
              <w:t>个采购包</w:t>
            </w:r>
          </w:p>
        </w:tc>
      </w:tr>
      <w:tr>
        <w:tc>
          <w:tcPr>
            <w:tcW w:type="dxa" w:w="1051"/>
          </w:tcPr>
          <w:p>
            <w:pPr>
              <w:pStyle w:val="null3"/>
              <w:jc w:val="center"/>
            </w:pPr>
            <w:r>
              <w:rPr/>
              <w:t xml:space="preserve"> 2</w:t>
            </w:r>
          </w:p>
        </w:tc>
        <w:tc>
          <w:tcPr>
            <w:tcW w:type="dxa" w:w="2252"/>
          </w:tcPr>
          <w:p>
            <w:pPr>
              <w:pStyle w:val="null3"/>
            </w:pPr>
            <w:r>
              <w:rPr/>
              <w:t xml:space="preserve"> 开启方式</w:t>
            </w:r>
          </w:p>
        </w:tc>
        <w:tc>
          <w:tcPr>
            <w:tcW w:type="dxa" w:w="5004"/>
          </w:tcPr>
          <w:p>
            <w:pPr>
              <w:pStyle w:val="null3"/>
            </w:pPr>
            <w:r>
              <w:rPr/>
              <w:t>远程电子开标</w:t>
            </w:r>
          </w:p>
        </w:tc>
      </w:tr>
      <w:tr>
        <w:tc>
          <w:tcPr>
            <w:tcW w:type="dxa" w:w="1051"/>
          </w:tcPr>
          <w:p>
            <w:pPr>
              <w:pStyle w:val="null3"/>
              <w:jc w:val="center"/>
            </w:pPr>
            <w:r>
              <w:rPr/>
              <w:t xml:space="preserve"> 3</w:t>
            </w:r>
          </w:p>
        </w:tc>
        <w:tc>
          <w:tcPr>
            <w:tcW w:type="dxa" w:w="2252"/>
          </w:tcPr>
          <w:p>
            <w:pPr>
              <w:pStyle w:val="null3"/>
            </w:pPr>
            <w:r>
              <w:rPr/>
              <w:t xml:space="preserve"> 评审方式</w:t>
            </w:r>
          </w:p>
        </w:tc>
        <w:tc>
          <w:tcPr>
            <w:tcW w:type="dxa" w:w="5004"/>
          </w:tcPr>
          <w:p>
            <w:pPr>
              <w:pStyle w:val="null3"/>
            </w:pPr>
            <w:r>
              <w:rPr/>
              <w:t>现场电子评标</w:t>
            </w:r>
            <w:r>
              <w:rPr/>
              <w:t xml:space="preserve"> （供应商应当审慎标记各评审项的应答部分，标记内容清晰且完整，否则将自行承担不利后果）</w:t>
            </w:r>
          </w:p>
        </w:tc>
      </w:tr>
      <w:tr>
        <w:tc>
          <w:tcPr>
            <w:tcW w:type="dxa" w:w="1051"/>
          </w:tcPr>
          <w:p>
            <w:pPr>
              <w:pStyle w:val="null3"/>
              <w:jc w:val="center"/>
            </w:pPr>
            <w:r>
              <w:rPr/>
              <w:t xml:space="preserve"> 4</w:t>
            </w:r>
          </w:p>
        </w:tc>
        <w:tc>
          <w:tcPr>
            <w:tcW w:type="dxa" w:w="2252"/>
          </w:tcPr>
          <w:p>
            <w:pPr>
              <w:pStyle w:val="null3"/>
            </w:pPr>
            <w:r>
              <w:rPr/>
              <w:t xml:space="preserve"> 评审办法</w:t>
            </w:r>
          </w:p>
        </w:tc>
        <w:tc>
          <w:tcPr>
            <w:tcW w:type="dxa" w:w="5004"/>
          </w:tcPr>
          <w:p>
            <w:pPr>
              <w:pStyle w:val="null3"/>
            </w:pPr>
            <w:r>
              <w:rPr/>
              <w:t>采购包1：综合评分法</w:t>
            </w:r>
          </w:p>
        </w:tc>
      </w:tr>
      <w:tr>
        <w:tc>
          <w:tcPr>
            <w:tcW w:type="dxa" w:w="1051"/>
          </w:tcPr>
          <w:p>
            <w:pPr>
              <w:pStyle w:val="null3"/>
              <w:jc w:val="center"/>
            </w:pPr>
            <w:r>
              <w:rPr/>
              <w:t>5</w:t>
            </w:r>
          </w:p>
        </w:tc>
        <w:tc>
          <w:tcPr>
            <w:tcW w:type="dxa" w:w="2252"/>
          </w:tcPr>
          <w:p>
            <w:pPr>
              <w:pStyle w:val="null3"/>
            </w:pPr>
            <w:r>
              <w:rPr/>
              <w:t>报价形式</w:t>
            </w:r>
          </w:p>
        </w:tc>
        <w:tc>
          <w:tcPr>
            <w:tcW w:type="dxa" w:w="5004"/>
          </w:tcPr>
          <w:p>
            <w:pPr>
              <w:pStyle w:val="null3"/>
            </w:pPr>
            <w:r>
              <w:rPr/>
              <w:t>采购包1：总价</w:t>
            </w:r>
          </w:p>
        </w:tc>
      </w:tr>
      <w:tr>
        <w:tc>
          <w:tcPr>
            <w:tcW w:type="dxa" w:w="1051"/>
          </w:tcPr>
          <w:p>
            <w:pPr>
              <w:pStyle w:val="null3"/>
              <w:jc w:val="center"/>
            </w:pPr>
            <w:r>
              <w:rPr/>
              <w:t>6</w:t>
            </w:r>
          </w:p>
        </w:tc>
        <w:tc>
          <w:tcPr>
            <w:tcW w:type="dxa" w:w="2252"/>
          </w:tcPr>
          <w:p>
            <w:pPr>
              <w:pStyle w:val="null3"/>
            </w:pPr>
            <w:r>
              <w:rPr/>
              <w:t>报价要求</w:t>
            </w:r>
          </w:p>
        </w:tc>
        <w:tc>
          <w:tcPr>
            <w:tcW w:type="dxa" w:w="5004"/>
          </w:tcPr>
          <w:p>
            <w:pPr>
              <w:pStyle w:val="null3"/>
            </w:pPr>
            <w:r>
              <w:rPr/>
              <w:t>各采购包报价不超过预算总价</w:t>
            </w:r>
          </w:p>
        </w:tc>
      </w:tr>
      <w:tr>
        <w:tc>
          <w:tcPr>
            <w:tcW w:type="dxa" w:w="1051"/>
          </w:tcPr>
          <w:p>
            <w:pPr>
              <w:pStyle w:val="null3"/>
              <w:jc w:val="center"/>
            </w:pPr>
            <w:r>
              <w:rPr/>
              <w:t xml:space="preserve"> 7</w:t>
            </w:r>
          </w:p>
        </w:tc>
        <w:tc>
          <w:tcPr>
            <w:tcW w:type="dxa" w:w="2252"/>
          </w:tcPr>
          <w:p>
            <w:pPr>
              <w:pStyle w:val="null3"/>
            </w:pPr>
            <w:r>
              <w:rPr/>
              <w:t xml:space="preserve"> 现场踏勘</w:t>
            </w:r>
          </w:p>
        </w:tc>
        <w:tc>
          <w:tcPr>
            <w:tcW w:type="dxa" w:w="5004"/>
          </w:tcPr>
          <w:p>
            <w:pPr>
              <w:pStyle w:val="null3"/>
            </w:pPr>
            <w:r>
              <w:rPr/>
              <w:t>否</w:t>
            </w:r>
          </w:p>
        </w:tc>
      </w:tr>
      <w:tr>
        <w:tc>
          <w:tcPr>
            <w:tcW w:type="dxa" w:w="1051"/>
          </w:tcPr>
          <w:p>
            <w:pPr>
              <w:pStyle w:val="null3"/>
              <w:jc w:val="center"/>
            </w:pPr>
            <w:r>
              <w:rPr/>
              <w:t xml:space="preserve"> 8</w:t>
            </w:r>
          </w:p>
        </w:tc>
        <w:tc>
          <w:tcPr>
            <w:tcW w:type="dxa" w:w="2252"/>
          </w:tcPr>
          <w:p>
            <w:pPr>
              <w:pStyle w:val="null3"/>
            </w:pPr>
            <w:r>
              <w:rPr/>
              <w:t xml:space="preserve"> 响应有效期</w:t>
            </w:r>
          </w:p>
        </w:tc>
        <w:tc>
          <w:tcPr>
            <w:tcW w:type="dxa" w:w="5004"/>
          </w:tcPr>
          <w:p>
            <w:pPr>
              <w:pStyle w:val="null3"/>
            </w:pPr>
            <w:r>
              <w:rPr/>
              <w:t>从提交投标（响应）文件的截止之日起90日历天</w:t>
            </w:r>
          </w:p>
        </w:tc>
      </w:tr>
      <w:tr>
        <w:tc>
          <w:tcPr>
            <w:tcW w:type="dxa" w:w="1051"/>
          </w:tcPr>
          <w:p>
            <w:pPr>
              <w:pStyle w:val="null3"/>
              <w:jc w:val="center"/>
            </w:pPr>
            <w:r>
              <w:rPr/>
              <w:t xml:space="preserve"> 9</w:t>
            </w:r>
          </w:p>
        </w:tc>
        <w:tc>
          <w:tcPr>
            <w:tcW w:type="dxa" w:w="2252"/>
          </w:tcPr>
          <w:p>
            <w:pPr>
              <w:pStyle w:val="null3"/>
            </w:pPr>
            <w:r>
              <w:rPr/>
              <w:t xml:space="preserve"> 响应保证金</w:t>
            </w:r>
          </w:p>
        </w:tc>
        <w:tc>
          <w:tcPr>
            <w:tcW w:type="dxa" w:w="5004"/>
          </w:tcPr>
          <w:p>
            <w:pPr>
              <w:pStyle w:val="null3"/>
            </w:pPr>
            <w:r>
              <w:rPr/>
              <w:t>采购包1：保证金人民币：0.00元整。</w:t>
            </w:r>
          </w:p>
          <w:p>
            <w:pPr>
              <w:pStyle w:val="null3"/>
            </w:pPr>
            <w:r>
              <w:rPr/>
              <w:t xml:space="preserve">开户单位： </w:t>
            </w:r>
            <w:r>
              <w:rPr/>
              <w:t>无</w:t>
            </w:r>
          </w:p>
          <w:p>
            <w:pPr>
              <w:pStyle w:val="null3"/>
            </w:pPr>
            <w:r>
              <w:rPr/>
              <w:t xml:space="preserve">开户账号： </w:t>
            </w:r>
            <w:r>
              <w:rPr/>
              <w:t>无</w:t>
            </w:r>
          </w:p>
          <w:p>
            <w:pPr>
              <w:pStyle w:val="null3"/>
            </w:pPr>
            <w:r>
              <w:rPr/>
              <w:t xml:space="preserve">开户银行： </w:t>
            </w:r>
            <w:r>
              <w:rPr/>
              <w:t>无</w:t>
            </w:r>
          </w:p>
          <w:p>
            <w:pPr>
              <w:pStyle w:val="null3"/>
            </w:pPr>
            <w:r>
              <w:rPr/>
              <w:t xml:space="preserve">支票提交方式： </w:t>
            </w:r>
            <w:r>
              <w:rPr/>
              <w:t>无</w:t>
            </w:r>
          </w:p>
          <w:p>
            <w:pPr>
              <w:pStyle w:val="null3"/>
            </w:pPr>
            <w:r>
              <w:rPr/>
              <w:t xml:space="preserve">汇票、本票提交方式： </w:t>
            </w:r>
            <w:r>
              <w:rPr/>
              <w:t>无</w:t>
            </w:r>
          </w:p>
          <w:p>
            <w:pPr>
              <w:pStyle w:val="null3"/>
            </w:pPr>
            <w:r>
              <w:rPr/>
              <w:t>响应保证金有效期∶与响应有效期一致。</w:t>
            </w:r>
          </w:p>
          <w:p>
            <w:pPr>
              <w:pStyle w:val="null3"/>
            </w:pPr>
            <w:r>
              <w:rPr/>
              <w:t>响应保函提交方式：供应商可通过"广东政府采购智慧云平台金融服务中心"(http://gdgpo.czt.gd.gov.cn/zcdservice/zcd/guangdong/)，申请办理响应担保函、保险（保证）凭证，成功出函的等效于现金缴纳响应保证金。</w:t>
            </w:r>
          </w:p>
        </w:tc>
      </w:tr>
      <w:tr>
        <w:tc>
          <w:tcPr>
            <w:tcW w:type="dxa" w:w="1051"/>
          </w:tcPr>
          <w:p>
            <w:pPr>
              <w:pStyle w:val="null3"/>
              <w:jc w:val="center"/>
            </w:pPr>
            <w:r>
              <w:rPr/>
              <w:t xml:space="preserve"> 10</w:t>
            </w:r>
          </w:p>
        </w:tc>
        <w:tc>
          <w:tcPr>
            <w:tcW w:type="dxa" w:w="2252"/>
          </w:tcPr>
          <w:p>
            <w:pPr>
              <w:pStyle w:val="null3"/>
            </w:pPr>
            <w:r>
              <w:rPr/>
              <w:t xml:space="preserve"> 成交候选供应商推荐家数</w:t>
            </w:r>
          </w:p>
        </w:tc>
        <w:tc>
          <w:tcPr>
            <w:tcW w:type="dxa" w:w="5004"/>
          </w:tcPr>
          <w:p>
            <w:pPr>
              <w:pStyle w:val="null3"/>
            </w:pPr>
            <w:r>
              <w:rPr/>
              <w:t>采购包1：</w:t>
            </w:r>
            <w:r>
              <w:rPr/>
              <w:t>3家</w:t>
            </w:r>
          </w:p>
        </w:tc>
      </w:tr>
      <w:tr>
        <w:tc>
          <w:tcPr>
            <w:tcW w:type="dxa" w:w="1051"/>
          </w:tcPr>
          <w:p>
            <w:pPr>
              <w:pStyle w:val="null3"/>
              <w:jc w:val="center"/>
            </w:pPr>
            <w:r>
              <w:rPr/>
              <w:t>11</w:t>
            </w:r>
          </w:p>
        </w:tc>
        <w:tc>
          <w:tcPr>
            <w:tcW w:type="dxa" w:w="2252"/>
          </w:tcPr>
          <w:p>
            <w:pPr>
              <w:pStyle w:val="null3"/>
            </w:pPr>
            <w:r>
              <w:rPr/>
              <w:t xml:space="preserve"> 成交供应商家数</w:t>
            </w:r>
          </w:p>
        </w:tc>
        <w:tc>
          <w:tcPr>
            <w:tcW w:type="dxa" w:w="5004"/>
          </w:tcPr>
          <w:p>
            <w:pPr>
              <w:pStyle w:val="null3"/>
            </w:pPr>
            <w:r>
              <w:rPr/>
              <w:t>采购包1：</w:t>
            </w:r>
            <w:r>
              <w:rPr/>
              <w:t>1家</w:t>
            </w:r>
          </w:p>
        </w:tc>
      </w:tr>
      <w:tr>
        <w:tc>
          <w:tcPr>
            <w:tcW w:type="dxa" w:w="1051"/>
          </w:tcPr>
          <w:p>
            <w:pPr>
              <w:pStyle w:val="null3"/>
              <w:jc w:val="center"/>
            </w:pPr>
            <w:r>
              <w:rPr/>
              <w:t>12</w:t>
            </w:r>
          </w:p>
        </w:tc>
        <w:tc>
          <w:tcPr>
            <w:tcW w:type="dxa" w:w="2252"/>
          </w:tcPr>
          <w:p>
            <w:pPr>
              <w:pStyle w:val="null3"/>
            </w:pPr>
            <w:r>
              <w:rPr/>
              <w:t xml:space="preserve"> 有效供应商家数</w:t>
            </w:r>
          </w:p>
        </w:tc>
        <w:tc>
          <w:tcPr>
            <w:tcW w:type="dxa" w:w="5004"/>
          </w:tcPr>
          <w:p>
            <w:pPr>
              <w:pStyle w:val="null3"/>
              <w:jc w:val="left"/>
            </w:pPr>
            <w:r>
              <w:rPr/>
              <w:t>采购包1：3家</w:t>
            </w:r>
          </w:p>
          <w:p>
            <w:pPr>
              <w:pStyle w:val="null3"/>
            </w:pPr>
            <w:r>
              <w:rPr/>
              <w:t>此人数约定了开启与评审过程中的最低有效供应商家数，当家数不足时项目将不得开启、不得评审或直接终止采购。</w:t>
            </w:r>
          </w:p>
        </w:tc>
      </w:tr>
      <w:tr>
        <w:tc>
          <w:tcPr>
            <w:tcW w:type="dxa" w:w="1051"/>
          </w:tcPr>
          <w:p>
            <w:pPr>
              <w:pStyle w:val="null3"/>
              <w:jc w:val="center"/>
            </w:pPr>
            <w:r>
              <w:rPr/>
              <w:t>13</w:t>
            </w:r>
          </w:p>
        </w:tc>
        <w:tc>
          <w:tcPr>
            <w:tcW w:type="dxa" w:w="2252"/>
          </w:tcPr>
          <w:p>
            <w:pPr>
              <w:pStyle w:val="null3"/>
            </w:pPr>
            <w:r>
              <w:rPr/>
              <w:t xml:space="preserve"> 项目兼投兼中（兼投不兼中）规则</w:t>
            </w:r>
          </w:p>
        </w:tc>
        <w:tc>
          <w:tcPr>
            <w:tcW w:type="dxa" w:w="5004"/>
          </w:tcPr>
          <w:p>
            <w:pPr>
              <w:pStyle w:val="null3"/>
            </w:pPr>
            <w:r>
              <w:rPr/>
              <w:t>无：-</w:t>
            </w:r>
          </w:p>
        </w:tc>
      </w:tr>
      <w:tr>
        <w:tc>
          <w:tcPr>
            <w:tcW w:type="dxa" w:w="1051"/>
          </w:tcPr>
          <w:p>
            <w:pPr>
              <w:pStyle w:val="null3"/>
              <w:jc w:val="center"/>
            </w:pPr>
            <w:r>
              <w:rPr/>
              <w:t>14</w:t>
            </w:r>
          </w:p>
        </w:tc>
        <w:tc>
          <w:tcPr>
            <w:tcW w:type="dxa" w:w="2252"/>
          </w:tcPr>
          <w:p>
            <w:pPr>
              <w:pStyle w:val="null3"/>
            </w:pPr>
            <w:r>
              <w:rPr/>
              <w:t xml:space="preserve"> 成交供应商确定方式</w:t>
            </w:r>
          </w:p>
        </w:tc>
        <w:tc>
          <w:tcPr>
            <w:tcW w:type="dxa" w:w="5004"/>
          </w:tcPr>
          <w:p>
            <w:pPr>
              <w:pStyle w:val="null3"/>
            </w:pPr>
            <w:r>
              <w:rPr/>
              <w:t>采购人按照评审报告中推荐的成交候选人确定中标（成交）人。</w:t>
            </w:r>
          </w:p>
        </w:tc>
      </w:tr>
      <w:tr>
        <w:tc>
          <w:tcPr>
            <w:tcW w:type="dxa" w:w="1051"/>
          </w:tcPr>
          <w:p>
            <w:pPr>
              <w:pStyle w:val="null3"/>
              <w:jc w:val="center"/>
            </w:pPr>
            <w:r>
              <w:rPr/>
              <w:t>15</w:t>
            </w:r>
          </w:p>
        </w:tc>
        <w:tc>
          <w:tcPr>
            <w:tcW w:type="dxa" w:w="2252"/>
          </w:tcPr>
          <w:p>
            <w:pPr>
              <w:pStyle w:val="null3"/>
            </w:pPr>
            <w:r>
              <w:rPr/>
              <w:t xml:space="preserve"> 代理服务费</w:t>
            </w:r>
          </w:p>
        </w:tc>
        <w:tc>
          <w:tcPr>
            <w:tcW w:type="dxa" w:w="5004"/>
          </w:tcPr>
          <w:p>
            <w:pPr>
              <w:pStyle w:val="null3"/>
            </w:pPr>
            <w:r>
              <w:rPr/>
              <w:t>收取。</w:t>
            </w:r>
          </w:p>
          <w:p>
            <w:pPr>
              <w:pStyle w:val="null3"/>
            </w:pPr>
            <w:r>
              <w:rPr/>
              <w:t>采购机构代理服务收费标准：参照《招标代理服务收费管理暂行办法》中“货物类”计费标准收取。</w:t>
            </w:r>
          </w:p>
        </w:tc>
      </w:tr>
      <w:tr>
        <w:tc>
          <w:tcPr>
            <w:tcW w:type="dxa" w:w="1051"/>
          </w:tcPr>
          <w:p>
            <w:pPr>
              <w:pStyle w:val="null3"/>
              <w:jc w:val="center"/>
            </w:pPr>
            <w:r>
              <w:rPr/>
              <w:t>16</w:t>
            </w:r>
          </w:p>
        </w:tc>
        <w:tc>
          <w:tcPr>
            <w:tcW w:type="dxa" w:w="2252"/>
          </w:tcPr>
          <w:p>
            <w:pPr>
              <w:pStyle w:val="null3"/>
            </w:pPr>
            <w:r>
              <w:rPr/>
              <w:t xml:space="preserve"> 代理服务费收取方式</w:t>
            </w:r>
          </w:p>
        </w:tc>
        <w:tc>
          <w:tcPr>
            <w:tcW w:type="dxa" w:w="5004"/>
          </w:tcPr>
          <w:p>
            <w:pPr>
              <w:pStyle w:val="null3"/>
            </w:pPr>
            <w:r>
              <w:rPr/>
              <w:t>向中标/成交供应商收取</w:t>
            </w:r>
          </w:p>
        </w:tc>
      </w:tr>
      <w:tr>
        <w:tc>
          <w:tcPr>
            <w:tcW w:type="dxa" w:w="1051"/>
          </w:tcPr>
          <w:p>
            <w:pPr>
              <w:pStyle w:val="null3"/>
              <w:jc w:val="center"/>
            </w:pPr>
            <w:r>
              <w:rPr/>
              <w:t>17</w:t>
            </w:r>
          </w:p>
        </w:tc>
        <w:tc>
          <w:tcPr>
            <w:tcW w:type="dxa" w:w="2252"/>
          </w:tcPr>
          <w:p>
            <w:pPr>
              <w:pStyle w:val="null3"/>
            </w:pPr>
            <w:r>
              <w:rPr/>
              <w:t xml:space="preserve"> 响应文件要求</w:t>
            </w:r>
          </w:p>
        </w:tc>
        <w:tc>
          <w:tcPr>
            <w:tcW w:type="dxa" w:w="5004"/>
          </w:tcPr>
          <w:p>
            <w:pPr>
              <w:pStyle w:val="null3"/>
              <w:ind w:firstLine="480"/>
            </w:pPr>
            <w:r>
              <w:rPr>
                <w:b/>
              </w:rPr>
              <w:t>一、电子响应文件（必须提供）：</w:t>
            </w:r>
          </w:p>
          <w:p>
            <w:pPr>
              <w:pStyle w:val="null3"/>
              <w:ind w:firstLine="480"/>
            </w:pPr>
            <w:r>
              <w:rPr/>
              <w:t>（1）加密的电子响应文件 1 份（需在递交响应文件截止时间前成功上传至云平台项目采购系统）。</w:t>
            </w:r>
          </w:p>
          <w:p>
            <w:pPr>
              <w:pStyle w:val="null3"/>
              <w:ind w:firstLine="480"/>
            </w:pPr>
            <w:r>
              <w:rPr/>
              <w:t>（2）非加密电子版文件 U 盘(或光盘)</w:t>
            </w:r>
            <w:r>
              <w:rPr/>
              <w:t>0</w:t>
            </w:r>
            <w:r>
              <w:rPr/>
              <w:t>份，加密的电子响应文件与非加密的电子响应文件必须完全一致。</w:t>
            </w:r>
          </w:p>
          <w:p>
            <w:pPr>
              <w:pStyle w:val="null3"/>
              <w:ind w:firstLine="480"/>
            </w:pPr>
            <w:r>
              <w:rPr>
                <w:b/>
              </w:rPr>
              <w:t>非加密电子版响应文件使用情形:</w:t>
            </w:r>
            <w:r>
              <w:rPr/>
              <w:t xml:space="preserve"> 当无法使用 CA 证书在云平台项目采购系统进行电子响应文件开标解密时，供应商须在代理机构指引下启用非加密电子版响应文件。</w:t>
            </w:r>
          </w:p>
          <w:p>
            <w:pPr>
              <w:pStyle w:val="null3"/>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pStyle w:val="null3"/>
              <w:jc w:val="center"/>
            </w:pPr>
            <w:r>
              <w:rPr/>
              <w:t>18</w:t>
            </w:r>
          </w:p>
        </w:tc>
        <w:tc>
          <w:tcPr>
            <w:tcW w:type="dxa" w:w="2252"/>
          </w:tcPr>
          <w:p>
            <w:pPr>
              <w:pStyle w:val="null3"/>
            </w:pPr>
            <w:r>
              <w:rPr/>
              <w:t xml:space="preserve"> 其他</w:t>
            </w:r>
          </w:p>
        </w:tc>
        <w:tc>
          <w:tcPr>
            <w:tcW w:type="dxa" w:w="5004"/>
          </w:tcPr>
          <w:p>
            <w:pPr>
              <w:pStyle w:val="null3"/>
              <w:jc w:val="left"/>
            </w:pPr>
            <w:r>
              <w:rPr/>
              <w:t>一，响应文件要求，电子响应文件上传到广东省政府采购网（https://gdgpo.czt.gd.gov.cn/）广东政府采购智慧云平台网上。</w:t>
            </w:r>
          </w:p>
          <w:p>
            <w:pPr>
              <w:pStyle w:val="null3"/>
              <w:jc w:val="left"/>
            </w:pPr>
            <w:r>
              <w:rPr/>
              <w:t>二， 其他补充事宜 1.本项目采用电子系统进行招投标，请在投标前详细阅读供应商操作手册，手册获取网址： https://gdgpo.czt.gd.gov.cn/help/transaction/gongyinshan.html。供应商在使用过程中遇到涉及系统使用的问题，可通过400-1832-999进行咨询或通过广东政府采购智慧云平台运维服务说明中提供的苗木类方式获取帮助。 2.供应商参加本项目投标，需要提前办理CA和电子签章，办理方式和注意事项详见供应商操作手册与CA办理指南，指南获取地址：https://gdgpo.czt.gd.gov.cn/help/problem/。数字证书CA服务热线：400-887-6133。 3.供应商应确认电子投标（响应）文件成功上传至广东省项目采购电子交易系统。如多次上传不成功的可咨询平台技术人员解决。 4.供应商可自行登录中小企业规模类型自测小程序网站（网址：http://202.106.120.146/baosong/appweb/orgScale.html） ，自测企业规模。</w:t>
            </w:r>
          </w:p>
          <w:p>
            <w:pPr>
              <w:pStyle w:val="null3"/>
              <w:jc w:val="left"/>
            </w:pPr>
            <w:r>
              <w:rPr/>
              <w:t>三，中山市政府采购支持中小微企业质押融资的说明根据《关于印发〈中山市政府采购支持中小微企业质押融资的实施意见〉的通知》规定 ：1. 根据《中国人民银行中山市中心支行 中山市财政局 中山市经济和信息化局 中山市人民政府金融工作局关于印发&lt;中山市政府采购支持中小微企业质押融资的实施意见&gt;的通知》（中人银发【2017】82号）规定，凡通过政府采购法定程序取得我市政府采购合同的中小微企业，均可向辖内开展政府采购质押融资业务的银行机构申请办理融资业务。截至当前，辖内开展政府采购质押融资业务的银行机构报备的联系方式如下：政府采购质押融资业务的银行机构联系人名单：1）农业发展银行中山市分行 客户部 孙博 13824726333 信贷与风险管理部 徐健兴 13702797626 2）工商银行中山分行 普惠金融事业部 杨培鹏 15900085352 普惠金融事业部 陈韵诗 18928106880 3）农业银行中山分行 乡村振兴普惠部/普惠金融事业部 罗红艳 0760-22644680 4）中国银行中山分行 普惠金融事业部 朱博玮 0760-88116725 风险内控部 庞宇宁 0760-88116076 5）建设银行中山市分行 公司业务部 吴灵杰 13143108376 6）交通银行中山分行 普惠部 杨小勇 13424595554 7）中山农村商业银行 普惠金融部 杜保森 13528137939/0760-88884181 8）邮储银行中山市分行 普惠金融事业部 梁根元 15876006469 9）广发银行中山分行 交易银行部 庄焕杰 0760-88862577 10）平安银行中山分行 公司管理部 刘涛 15902062164 跨境业务部 张蕾 13802664960 政府业务一部 樊林 13631131569 11）中信银行中山分行 公司银行部（普惠金融部） 陈廷忠 15113386853 12）民生银行中山分行 小微金融部/普惠金融部 陈毅聪 0760-88799160 13）光大银行中山分行 公司金融部 邓敏 0760-88858067 14）招商银行中山分行 风险管理部 钟娟 0760-89981875 公司金融事业部 梁倩 0760-89981269 15）东莞银行中山分行 业务部 郑康辉 0760-86939959 16）广州银行中山分行 公司金融部 卢盈伶 0760-88776952 普惠业务部 王淼龙 13528240121 17）渤海银行中山分行 公司金融部 张砚珺 0760-87911816 公司金融部 蒋华玲 0760-87911803 18）华润银行中山分行 公司金融部 刘永智 0760-87500626 风险管理部 罗凯欣 0760-87500513 19）浦发银行中山分行 公司业务部 甘芷珺 13415312386 20）华兴银行中山分行 公司银行部 梁卫明 0760-88520074 公司银行部 邓松华 0760-88520072 21）大华银行（中国）有限公司中山分行 科技与营运部 黎骏业 0760-87707696 22）创兴银行中山支行 公司业务部 温世冠 13435737447 公司业务部 吕瑒 13928153346 2.中小微企业有融资需求的，可通过应收账款融资服务平台（网址： www.crcrfsp.com）和广东省中小微企业信用信息和融资对接平台（网址：https://finance.gzebsc.cn）向辖内特定或非特定银行机构咨询并提出融资申请。 3.采购人应当及时在应收账款融资服务平台（网址：www.crcrfsp.com）确认债权债务关系，支持中小微企业融资。 4.中小微企业与银行机构签订政府采购质押融资合同的，由采购人牵头与中小微企业和银行机构三方签署 《政府采购合同项下政府采购资金唯一回款账户确认函》，确保合同款支付到中小微企业在融资银行机构开立的回款账号。 5.财政部门根据《政府采购法》等相关法规、规章规定，对参加政府采购活动的供应商的不良行为予以记录，并纳入广东省中小微企业信用信息和融资对接平台，供银行机构融资授信时审慎性参考。</w:t>
            </w:r>
          </w:p>
          <w:p>
            <w:pPr>
              <w:pStyle w:val="null3"/>
              <w:jc w:val="left"/>
            </w:pPr>
            <w:r>
              <w:rPr/>
              <w:t>四，需要落实的政府采购政策：《政府采购促进中小企业发展管理办法》（财库〔2020〕46 号）、《关于政府采购支持监狱企业发展有关问题的通知 》(财库〔2014〕68号)、《关于促进残疾人就业政府采购政策的通知》（财库〔2017〕141号 )、《关于环境标志产品政府采购实施的意见》（财库〔2006〕90号）、《节能产品政府采购 实施意见》的通知（财库〔2004〕185号）、《关于调整优化节能产品、环境标志产品政府采购执行机制的通知》（财库〔2019〕9号）、《关于运用政府采购政策支持脱贫攻坚的通知》等。</w:t>
            </w:r>
          </w:p>
          <w:p>
            <w:pPr>
              <w:pStyle w:val="null3"/>
              <w:jc w:val="left"/>
            </w:pPr>
            <w:r>
              <w:rPr/>
              <w:t>五， 开评标有关事项: ⑴本项目开标方式为“远程开标”，项目采用电子远程开标环节使用手册获取网址：https://gdgpo.czt.gd.gov.cn/help/transaction/gongyinshan.html。 ⑵请供应商按“远程开标”有关要求，在投标/报价截止时间前，将加密的电子投标/报价文件上传至云平台项目采购系统，逾期上传或错误方式投递送达将导致投标/报价无效。咨询电话：020-88696588。 ⑶由云平台进行自动在线签到及在线解密，不需要委派代表前往开标/唱价现场，不需要到现场提交纸质或电子光盘投标/报价文件。 ⑷在开标/唱价截止时间前，请各投标/报价人核实并确认填写授权代表的姓名与手机号码，若因填写的授权代表信息有误而导致的不良后果，由供应商自行承担。 ⑸参与开标/唱价会的投标供应商，在投标/报价截止时间前登录云平台→点击“项目采购”→选择参与开标的项目→进入“开标大厅”，并留意右侧的“信息栏”。 ⑹开标/唱价时，供应商应当使用编制本项目（采购包）电子投标/报价文件时加密所用数字证书进行解密，开标解密时长具体情况根据开标时现场代理机构人员设置为准，投标/报价人不按要求进行解密，视为无效投标/报价。各供应商在参加开标/唱价之前须自行对使用电脑的网络环境、驱动安装、客户端安装以及数字证书的有效性等进行检测，确保可以正常使用。 ⑺供应商应按正常流程进行解密，因技术问题导致在规定的时间内无法解密的，代理机构可视情况开通授权上传功能（即授权供应商在其客户端上传备份电子响应文件），供应商获得授权后应该及时上传备用电子投标/报价文件（投标/报价人需保证上传的备用电子投标/报价文件与加密的电子投标/报价文件版本一致）。如供应商没在代理机构规定时间内完成备用电子投标/报价文件上传的，视为无效投标/报价。供应商可提前登录云平台了解“解密失败解决办法”。咨询电话：020-83523973、020-83523967。</w:t>
            </w:r>
          </w:p>
        </w:tc>
      </w:tr>
      <w:tr>
        <w:tc>
          <w:tcPr>
            <w:tcW w:type="dxa" w:w="1051"/>
          </w:tcPr>
          <w:p>
            <w:pPr>
              <w:pStyle w:val="null3"/>
              <w:jc w:val="center"/>
            </w:pPr>
            <w:r>
              <w:rPr/>
              <w:t>19</w:t>
            </w:r>
          </w:p>
        </w:tc>
        <w:tc>
          <w:tcPr>
            <w:tcW w:type="dxa" w:w="2252"/>
          </w:tcPr>
          <w:p>
            <w:pPr>
              <w:pStyle w:val="null3"/>
            </w:pPr>
            <w:r>
              <w:rPr/>
              <w:t xml:space="preserve"> 开标解密时长</w:t>
            </w:r>
          </w:p>
        </w:tc>
        <w:tc>
          <w:tcPr>
            <w:tcW w:type="dxa" w:w="5004"/>
          </w:tcPr>
          <w:p>
            <w:pPr>
              <w:pStyle w:val="null3"/>
            </w:pPr>
            <w:r>
              <w:rPr/>
              <w:t>30分钟</w:t>
            </w:r>
          </w:p>
          <w:p>
            <w:pPr>
              <w:pStyle w:val="null3"/>
            </w:pPr>
            <w:r>
              <w:rPr/>
              <w:t>说明：具体情况根据开标时现场代理机构人员设置为准</w:t>
            </w:r>
          </w:p>
        </w:tc>
      </w:tr>
      <w:tr>
        <w:tc>
          <w:tcPr>
            <w:tcW w:type="dxa" w:w="1051"/>
          </w:tcPr>
          <w:p>
            <w:pPr>
              <w:pStyle w:val="null3"/>
              <w:jc w:val="center"/>
            </w:pPr>
            <w:r>
              <w:rPr/>
              <w:t>20</w:t>
            </w:r>
          </w:p>
        </w:tc>
        <w:tc>
          <w:tcPr>
            <w:tcW w:type="dxa" w:w="2252"/>
          </w:tcPr>
          <w:p>
            <w:pPr>
              <w:pStyle w:val="null3"/>
            </w:pPr>
            <w:r>
              <w:rPr/>
              <w:t xml:space="preserve"> 专门面向中小企业采购</w:t>
            </w:r>
          </w:p>
        </w:tc>
        <w:tc>
          <w:tcPr>
            <w:tcW w:type="dxa" w:w="5004"/>
          </w:tcPr>
          <w:p>
            <w:pPr>
              <w:pStyle w:val="null3"/>
              <w:jc w:val="left"/>
            </w:pPr>
            <w:r>
              <w:rPr/>
              <w:t>采购包1：非专门面向中小企业</w:t>
            </w:r>
          </w:p>
        </w:tc>
      </w:tr>
    </w:tbl>
    <w:p>
      <w:pPr>
        <w:pStyle w:val="null3"/>
        <w:outlineLvl w:val="2"/>
      </w:pPr>
      <w:r>
        <w:rPr>
          <w:sz w:val="28"/>
          <w:b/>
        </w:rPr>
        <w:t>三、说明</w:t>
      </w:r>
    </w:p>
    <w:p>
      <w:pPr>
        <w:pStyle w:val="null3"/>
        <w:outlineLvl w:val="3"/>
      </w:pPr>
      <w:r>
        <w:rPr>
          <w:sz w:val="24"/>
          <w:b/>
        </w:rPr>
        <w:t>1.总则</w:t>
      </w:r>
    </w:p>
    <w:p>
      <w:pPr>
        <w:pStyle w:val="null3"/>
        <w:ind w:firstLine="480"/>
      </w:pPr>
      <w:r>
        <w:rPr/>
        <w:t xml:space="preserve"> 本磋商文件依据《中华人民共和国政府采购法》、《中华人民共和国政府采购法实施条例》（国务院令第658号）和《政府采购竞争性磋商采购方式管理暂行办法》（财库〔2014〕214号）及国家和广东省有关法律、法规、规章制度编制。</w:t>
      </w:r>
    </w:p>
    <w:p>
      <w:pPr>
        <w:pStyle w:val="null3"/>
        <w:ind w:firstLine="480"/>
      </w:pPr>
      <w:r>
        <w:rPr/>
        <w:t xml:space="preserve"> 供应商应仔细阅读本项目信息公告及磋商文件的所有内容（包括变更、补充、澄清以及修改等，且均为磋商文件的组成部分），按照磋商文件要求以及格式编制响应文件，并保证其真实性，否则一切后果自负。</w:t>
      </w:r>
    </w:p>
    <w:p>
      <w:pPr>
        <w:pStyle w:val="null3"/>
        <w:ind w:firstLine="480"/>
      </w:pPr>
      <w:r>
        <w:rPr/>
        <w:t>本次竞争性磋商项目，是以磋商公告的方式邀请非特定的供应商参加磋商。</w:t>
      </w:r>
    </w:p>
    <w:p>
      <w:pPr>
        <w:pStyle w:val="null3"/>
        <w:outlineLvl w:val="3"/>
      </w:pPr>
      <w:r>
        <w:rPr>
          <w:sz w:val="24"/>
          <w:b/>
        </w:rPr>
        <w:t>2.适用范围</w:t>
      </w:r>
    </w:p>
    <w:p>
      <w:pPr>
        <w:pStyle w:val="null3"/>
        <w:ind w:firstLine="480"/>
      </w:pPr>
      <w:r>
        <w:rPr/>
        <w:t>本磋商文件仅适用于本次磋商公告中所涉及的项目和内容。</w:t>
      </w:r>
    </w:p>
    <w:p>
      <w:pPr>
        <w:pStyle w:val="null3"/>
        <w:outlineLvl w:val="3"/>
      </w:pPr>
      <w:r>
        <w:rPr>
          <w:sz w:val="24"/>
          <w:b/>
        </w:rPr>
        <w:t>3.进口产品</w:t>
      </w:r>
    </w:p>
    <w:p>
      <w:pPr>
        <w:pStyle w:val="null3"/>
        <w:ind w:firstLine="480"/>
      </w:pPr>
      <w:r>
        <w:rPr/>
        <w:t>若本项目允许采购进口产品，供应商应保证所投产品可履行合法报通关手续进入中国关境内。</w:t>
      </w:r>
    </w:p>
    <w:p>
      <w:pPr>
        <w:pStyle w:val="null3"/>
        <w:ind w:firstLine="480"/>
      </w:pPr>
      <w:r>
        <w:rPr/>
        <w:t>若本项目不允许采购进口产品，如供应商所投产品为进口产品，其响应将被认定为响应无效。</w:t>
      </w:r>
    </w:p>
    <w:p>
      <w:pPr>
        <w:pStyle w:val="null3"/>
        <w:outlineLvl w:val="3"/>
      </w:pPr>
      <w:r>
        <w:rPr>
          <w:sz w:val="24"/>
          <w:b/>
        </w:rPr>
        <w:t>4.磋商费用</w:t>
      </w:r>
    </w:p>
    <w:p>
      <w:pPr>
        <w:pStyle w:val="null3"/>
        <w:ind w:firstLine="480"/>
      </w:pPr>
      <w:r>
        <w:rPr/>
        <w:t>不论磋商结果如何，供应商应承担所有与准备和参加磋商有关的费用。采购代理机构和采购人均无义务和责任承担相关费用。</w:t>
      </w:r>
    </w:p>
    <w:p>
      <w:pPr>
        <w:pStyle w:val="null3"/>
        <w:outlineLvl w:val="3"/>
      </w:pPr>
      <w:r>
        <w:rPr>
          <w:sz w:val="24"/>
          <w:b/>
        </w:rPr>
        <w:t>5.以联合体形式磋商的，应符合以下规定：</w:t>
      </w:r>
    </w:p>
    <w:p>
      <w:pPr>
        <w:pStyle w:val="null3"/>
        <w:ind w:firstLine="480"/>
      </w:pPr>
      <w:r>
        <w:rPr/>
        <w:t>5.1联合体各方均应当满足《中华人民共和国政府采购法》第二十二条规定的条件，并在响应文件中提供联合体各方的相关证明材料。</w:t>
      </w:r>
    </w:p>
    <w:p>
      <w:pPr>
        <w:pStyle w:val="null3"/>
        <w:ind w:firstLine="480"/>
      </w:pPr>
      <w:r>
        <w:rPr/>
        <w:t xml:space="preserve"> 5.2联合体各方之间应签订联合体协议书并在响应文件中提交，明确约定联合体各方承担的工作和相应的责任。联合体各方签订联合体协议书后，不得再以自己名义单独在同一项目中响应，也不得组成新的联合体参加同一项目响应，若违反规定则其参与的所有响应将视为无效响应。</w:t>
      </w:r>
    </w:p>
    <w:p>
      <w:pPr>
        <w:pStyle w:val="null3"/>
        <w:ind w:firstLine="480"/>
      </w:pPr>
      <w:r>
        <w:rPr/>
        <w:t xml:space="preserve"> 5.3联合体应以联合协议中确定的牵头方名义登录云平台项目采购系统进行项目响应，录入联合体所有成员单位的全称并使用成员单位的电子印章进行联投确认，联合体名称需与联合体协议书签署方一致。对于需交响应保证金的，以牵头方名义缴纳。</w:t>
      </w:r>
    </w:p>
    <w:p>
      <w:pPr>
        <w:pStyle w:val="null3"/>
        <w:ind w:firstLine="480"/>
      </w:pPr>
      <w:r>
        <w:rPr/>
        <w:t>5.4联合体成员存在不良信用记录的，视同联合体存在不良信用记录。</w:t>
      </w:r>
    </w:p>
    <w:p>
      <w:pPr>
        <w:pStyle w:val="null3"/>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pStyle w:val="null3"/>
        <w:ind w:firstLine="480"/>
      </w:pPr>
      <w:r>
        <w:rPr/>
        <w:t>5.6联合体各方应当共同与采购人签订采购合同，就合同约定的事项对采购人承担连带责任。</w:t>
      </w:r>
    </w:p>
    <w:p>
      <w:pPr>
        <w:pStyle w:val="null3"/>
        <w:outlineLvl w:val="3"/>
      </w:pPr>
      <w:r>
        <w:rPr>
          <w:sz w:val="24"/>
          <w:b/>
        </w:rPr>
        <w:t>6.关联企业响应说明</w:t>
      </w:r>
    </w:p>
    <w:p>
      <w:pPr>
        <w:pStyle w:val="null3"/>
        <w:ind w:firstLine="480"/>
      </w:pPr>
      <w:r>
        <w:rPr/>
        <w:t xml:space="preserve"> 6.1对于不接受联合体响应的采购项目（采购包）：法定代表人或单位负责人为同一个人或者存在直接控股、管理关系的不同供应商，不得同时参加同一项目或同一采购包的响应。如同时参加，则评审时将同时被拒绝。</w:t>
      </w:r>
    </w:p>
    <w:p>
      <w:pPr>
        <w:pStyle w:val="null3"/>
        <w:ind w:firstLine="480"/>
      </w:pPr>
      <w:r>
        <w:rPr/>
        <w:t xml:space="preserve"> 6.2对于接受联合体响应的采购项目（采购包）：除联合体外，法定代表人或单位负责人为同一个人或者存在直接控股、管理关系的不同供应商，不得同时参加同一项目或同一采购包的响应。如同时参加，则评审时将同时被拒绝。</w:t>
      </w:r>
    </w:p>
    <w:p>
      <w:pPr>
        <w:pStyle w:val="null3"/>
        <w:outlineLvl w:val="3"/>
      </w:pPr>
      <w:r>
        <w:rPr>
          <w:sz w:val="24"/>
          <w:b/>
        </w:rPr>
        <w:t>7.关于中小微企业响应</w:t>
      </w:r>
    </w:p>
    <w:p>
      <w:pPr>
        <w:pStyle w:val="null3"/>
        <w:ind w:firstLine="480"/>
      </w:pPr>
      <w:r>
        <w:rPr/>
        <w:t xml:space="preserve"> 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 中小企业划分见《关于印发中小企业划型标准规定的通知》（工信部联企业〔2011〕300号) 。</w:t>
      </w:r>
    </w:p>
    <w:p>
      <w:pPr>
        <w:pStyle w:val="null3"/>
        <w:ind w:firstLine="480"/>
      </w:pPr>
      <w:r>
        <w:rPr/>
        <w:t>根据财库〔2014〕68号《财政部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响应时，提供由省级以上监狱管理局、戒毒管理局(含新疆生产建设兵团)出具的属于监狱企业的证明文件，不再提供《中小企业声明函》。</w:t>
      </w:r>
    </w:p>
    <w:p>
      <w:pPr>
        <w:pStyle w:val="null3"/>
        <w:ind w:firstLine="480"/>
      </w:pPr>
      <w:r>
        <w:rPr/>
        <w:t>根据财库〔2017〕141号《财政部 民政部 中国残疾人联合会关于促进残疾人就业政府采购政策的通知》，在政府采购活动中，残疾人福利性单位视同小型、微型企业，享受政府采购支持政策的残疾人福利性单位应当同时满足《财政部 民政部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pPr>
        <w:pStyle w:val="null3"/>
        <w:outlineLvl w:val="3"/>
      </w:pPr>
      <w:r>
        <w:rPr>
          <w:sz w:val="24"/>
          <w:b/>
        </w:rPr>
        <w:t>8.纪律与保密事项</w:t>
      </w:r>
    </w:p>
    <w:p>
      <w:pPr>
        <w:pStyle w:val="null3"/>
        <w:ind w:firstLine="480"/>
      </w:pPr>
      <w:r>
        <w:rPr/>
        <w:t>8.1供应商不得相互串通磋商报价，不得妨碍其他供应商的公平竞争，不得损害采购人或其他供应商的合法权益，供应商不得以向采购人、磋商小组成员行贿或者采取其他不正当手段谋取成交。</w:t>
      </w:r>
    </w:p>
    <w:p>
      <w:pPr>
        <w:pStyle w:val="null3"/>
        <w:ind w:firstLine="480"/>
      </w:pPr>
      <w:r>
        <w:rPr/>
        <w:t>8.2供应商不得与采购人就响应价格、响应方案等实质性内容进行磋商，也不得私下接触磋商小组成员。</w:t>
      </w:r>
    </w:p>
    <w:p>
      <w:pPr>
        <w:pStyle w:val="null3"/>
        <w:ind w:firstLine="480"/>
      </w:pPr>
      <w:r>
        <w:rPr/>
        <w:t>8.3在确定成交供应商之前，供应商试图在响应文件审查、澄清、比较和评价时对磋商小组、采购人和采购代理机构施加任何影响都可能导致其响应无效。</w:t>
      </w:r>
    </w:p>
    <w:p>
      <w:pPr>
        <w:pStyle w:val="null3"/>
        <w:ind w:firstLine="480"/>
      </w:pPr>
      <w:r>
        <w:rPr/>
        <w:t>8.4获得本磋商文件者，须履行本磋商项目下保密义务，不得将因本次磋商获得的信息向第三人外传，不得将磋商文件用作本次响应以外的任何用途。</w:t>
      </w:r>
    </w:p>
    <w:p>
      <w:pPr>
        <w:pStyle w:val="null3"/>
        <w:ind w:firstLine="480"/>
      </w:pPr>
      <w:r>
        <w:rPr/>
        <w:t xml:space="preserve"> 8.5由采购人向供应商提供的图纸、详细资料、样品、模型、模件和所有其它资料，均为保密资料，仅被用于它所规定的用途。除非得到采购人的同意，不能向任何第三方透露。开启结束后，应采购人要求，供应商应归还所有从采购人处获得的保密资料。</w:t>
      </w:r>
    </w:p>
    <w:p>
      <w:pPr>
        <w:pStyle w:val="null3"/>
        <w:ind w:firstLine="480"/>
      </w:pPr>
      <w:r>
        <w:rPr/>
        <w:t>8.6采购人或采购代理机构有权将供应商提供的所有资料向有关政府部门或询价小组披露。</w:t>
      </w:r>
    </w:p>
    <w:p>
      <w:pPr>
        <w:pStyle w:val="null3"/>
        <w:ind w:firstLine="480"/>
      </w:pPr>
      <w:r>
        <w:rPr/>
        <w:t xml:space="preserve"> 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pPr>
        <w:pStyle w:val="null3"/>
        <w:outlineLvl w:val="3"/>
      </w:pPr>
      <w:r>
        <w:rPr>
          <w:sz w:val="24"/>
          <w:b/>
        </w:rPr>
        <w:t>9.语言文字以及度量衡单位</w:t>
      </w:r>
    </w:p>
    <w:p>
      <w:pPr>
        <w:pStyle w:val="null3"/>
        <w:ind w:firstLine="480"/>
      </w:pPr>
      <w:r>
        <w:rPr/>
        <w:t xml:space="preserve"> 9.1除磋商文件另有规定外，响应文件应使用中文文本，若有不同文本，以中文文本为准。响应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pStyle w:val="null3"/>
        <w:ind w:firstLine="480"/>
      </w:pPr>
      <w:r>
        <w:rPr/>
        <w:t>9.2除非磋商文件的技术规格中另有规定，供应商在响应文件中及其与采购人和采购代理机构的所有往来文件中的计量单位均应采用中华人民共和国法定计量单位。</w:t>
      </w:r>
    </w:p>
    <w:p>
      <w:pPr>
        <w:pStyle w:val="null3"/>
        <w:ind w:firstLine="480"/>
      </w:pPr>
      <w:r>
        <w:rPr/>
        <w:t>9.3供应商所提供的货物和服务均应以人民币报价，货币单位：元。</w:t>
      </w:r>
    </w:p>
    <w:p>
      <w:pPr>
        <w:pStyle w:val="null3"/>
        <w:outlineLvl w:val="3"/>
      </w:pPr>
      <w:r>
        <w:rPr>
          <w:sz w:val="24"/>
          <w:b/>
        </w:rPr>
        <w:t>10. 现场踏勘（如有）</w:t>
      </w:r>
    </w:p>
    <w:p>
      <w:pPr>
        <w:pStyle w:val="null3"/>
        <w:ind w:firstLine="480"/>
      </w:pPr>
      <w:r>
        <w:rPr/>
        <w:t>10.1磋商文件规定组织踏勘现场的，采购人按磋商文件规定的时间、地点组织供应商踏勘项目现场。</w:t>
      </w:r>
    </w:p>
    <w:p>
      <w:pPr>
        <w:pStyle w:val="null3"/>
        <w:ind w:firstLine="480"/>
      </w:pPr>
      <w:r>
        <w:rPr/>
        <w:t>10.2供应商自行承担踏勘现场发生的责任、风险和自身费用。</w:t>
      </w:r>
    </w:p>
    <w:p>
      <w:pPr>
        <w:pStyle w:val="null3"/>
        <w:ind w:firstLine="480"/>
      </w:pPr>
      <w:r>
        <w:rPr/>
        <w:t>10.3采购人在踏勘现场中介绍的资料和数据等，不构成对磋商文件的修改或不作为供应商编制响应文件的依据。</w:t>
      </w:r>
    </w:p>
    <w:p>
      <w:pPr>
        <w:pStyle w:val="null3"/>
        <w:outlineLvl w:val="2"/>
      </w:pPr>
      <w:r>
        <w:rPr>
          <w:sz w:val="28"/>
          <w:b/>
        </w:rPr>
        <w:t>四、磋商文件的澄清和修改</w:t>
      </w:r>
    </w:p>
    <w:p>
      <w:pPr>
        <w:pStyle w:val="null3"/>
        <w:ind w:firstLine="480"/>
      </w:pPr>
      <w:r>
        <w:rPr/>
        <w:t xml:space="preserve"> 1.采购代理机构对磋商文件进行必要的澄清或者修改的，在指定媒体上发布更正公告。澄清或者修改的内容可能影响响应文件编制的，更正公告在递交响应文件截止时间至少5日前发出；不足5日的，代理机构顺延提交响应文件截止时间。</w:t>
      </w:r>
    </w:p>
    <w:p>
      <w:pPr>
        <w:pStyle w:val="null3"/>
        <w:ind w:firstLine="480"/>
      </w:pPr>
      <w:r>
        <w:rPr/>
        <w:t xml:space="preserve"> 2.更正公告及其所发布的内容或信息（包括但不限于：磋商文件的澄清或修改、现场考察或答疑会的有关事宜等）作为磋商文件的组成部分，对供应商具有约束力。一经在指定媒体上发布后，更正公告将作为通知所有磋商文件收受人的书面形式。</w:t>
      </w:r>
    </w:p>
    <w:p>
      <w:pPr>
        <w:pStyle w:val="null3"/>
        <w:ind w:firstLine="480"/>
      </w:pPr>
      <w:r>
        <w:rPr/>
        <w:t>3.如更正公告有重新发布电子磋商文件的，供应商应登录云平台项目采购系统下载最新发布的电子磋商文件制作响应文件。</w:t>
      </w:r>
    </w:p>
    <w:p>
      <w:pPr>
        <w:pStyle w:val="null3"/>
        <w:ind w:firstLine="480"/>
      </w:pPr>
      <w:r>
        <w:rPr/>
        <w:t xml:space="preserve"> 4.供应商在规定的时间内未对磋商文件提出疑问、质疑或要求澄清的，将视其为无异议。对磋商文件中描述有歧义或前后不一致的地方，磋商小组有权进行评判，但对同一条款的评判应适用于每个供应商。</w:t>
      </w:r>
    </w:p>
    <w:p>
      <w:pPr>
        <w:pStyle w:val="null3"/>
        <w:outlineLvl w:val="2"/>
      </w:pPr>
      <w:r>
        <w:rPr>
          <w:sz w:val="28"/>
          <w:b/>
        </w:rPr>
        <w:t>五、响应要求</w:t>
      </w:r>
    </w:p>
    <w:p>
      <w:pPr>
        <w:pStyle w:val="null3"/>
        <w:outlineLvl w:val="3"/>
      </w:pPr>
      <w:r>
        <w:rPr>
          <w:sz w:val="24"/>
          <w:b/>
        </w:rPr>
        <w:t>1.响应登记</w:t>
      </w:r>
    </w:p>
    <w:p>
      <w:pPr>
        <w:pStyle w:val="null3"/>
        <w:ind w:firstLine="480"/>
      </w:pPr>
      <w:r>
        <w:rPr/>
        <w:t xml:space="preserve"> 供应商应从广东省政府采购网（https://gdgpo.czt.gd.gov.cn/）上广东政府采购智慧云平台（以下简称“云平台”）的政府采购供应商入口进行免费注册并点击登录进入项目采购系统完成项目响应登记并在线获取磋商文件（未按上述方式获取磋商文件的供应商，其响应资格将被视为无效）。</w:t>
      </w:r>
    </w:p>
    <w:p>
      <w:pPr>
        <w:pStyle w:val="null3"/>
        <w:outlineLvl w:val="3"/>
      </w:pPr>
      <w:r>
        <w:rPr>
          <w:sz w:val="24"/>
          <w:b/>
        </w:rPr>
        <w:t>2.响应文件的制作</w:t>
      </w:r>
    </w:p>
    <w:p>
      <w:pPr>
        <w:pStyle w:val="null3"/>
        <w:ind w:firstLine="480"/>
      </w:pPr>
      <w:r>
        <w:rPr/>
        <w:t>2.1响应文件中，所有内容均以电子文件编制，其格式要求详见第六章说明。如因不按要求编制导致系统无法检索、读取相关信息时，其后果由供应商承担。由于本项目采用电子化投标，请充分考虑设备、网络环境、人员对系统熟悉度等因素，合理安排响应文件制作、提交时间，建议至少提前一天完成制作、提交工作。</w:t>
      </w:r>
    </w:p>
    <w:p>
      <w:pPr>
        <w:pStyle w:val="null3"/>
        <w:ind w:firstLine="480"/>
      </w:pPr>
      <w:r>
        <w:rPr/>
        <w:t xml:space="preserve"> 2.2供应商应使用云平台提供的投标客户端编制、标记、加密响应文件，成功加密后将生成指定格式的电子响应文件和电子备用响应文件。所有响应文件不能进行压缩处理。关于电子磋商报价说明如下：</w:t>
      </w:r>
    </w:p>
    <w:p>
      <w:pPr>
        <w:pStyle w:val="null3"/>
        <w:ind w:firstLine="480"/>
      </w:pPr>
      <w:r>
        <w:rPr/>
        <w:t xml:space="preserve"> （1）供应商应按照“第二章采购需求”的需求内容、责任范围以及合同条款进行报价。并按“首轮报价表”和“分项报价表”规定的格式报出总价和分项价格。磋商总价中不得包含磋商文件要求以外的内容，否则，在评审时不予核减。</w:t>
      </w:r>
    </w:p>
    <w:p>
      <w:pPr>
        <w:pStyle w:val="null3"/>
        <w:ind w:firstLine="480"/>
      </w:pPr>
      <w:r>
        <w:rPr/>
        <w:t>（2）磋商报价包括本项目采购需求和投入使用的所有费用，包括但不限于主件、标准附件、备品备件、施工、服务、专用工具、安装、调试、检验、培训、运输、保险、税款等。</w:t>
      </w:r>
    </w:p>
    <w:p>
      <w:pPr>
        <w:pStyle w:val="null3"/>
        <w:ind w:firstLine="480"/>
      </w:pPr>
      <w:r>
        <w:rPr/>
        <w:t>（3）磋商报价不得有选择性报价和附有条件的报价，否则将导致响应无效。</w:t>
      </w:r>
    </w:p>
    <w:p>
      <w:pPr>
        <w:pStyle w:val="null3"/>
        <w:ind w:firstLine="480"/>
      </w:pPr>
      <w:r>
        <w:rPr/>
        <w:t>2.3如有对多个采购包响应的，要对每个采购包独立制作电子响应文件。</w:t>
      </w:r>
    </w:p>
    <w:p>
      <w:pPr>
        <w:pStyle w:val="null3"/>
        <w:ind w:firstLine="480"/>
      </w:pPr>
      <w:r>
        <w:rPr/>
        <w:t>2.4供应商不得将同一个项目或同一个采购包的内容拆开响应，否则其报价将被视为非实质性响应。</w:t>
      </w:r>
    </w:p>
    <w:p>
      <w:pPr>
        <w:pStyle w:val="null3"/>
        <w:ind w:firstLine="480"/>
      </w:pPr>
      <w:r>
        <w:rPr/>
        <w:t>2.5供应商须对磋商文件的对应要求给予唯一的实质性响应，否则将视为不响应。</w:t>
      </w:r>
    </w:p>
    <w:p>
      <w:pPr>
        <w:pStyle w:val="null3"/>
        <w:ind w:firstLine="480"/>
      </w:pPr>
      <w:r>
        <w:rPr/>
        <w:t>2.6磋商文件中，凡标有“★”的地方均为实质性响应条款，供应商若有一项带“★”的条款未响应或不满足，将按无效响应处理。</w:t>
      </w:r>
    </w:p>
    <w:p>
      <w:pPr>
        <w:pStyle w:val="null3"/>
        <w:ind w:firstLine="480"/>
      </w:pPr>
      <w:r>
        <w:rPr/>
        <w:t xml:space="preserve"> 2.7供应商必须按磋商文件指定的格式填写各种报价，各报价应计算正确。除在磋商文件另有规定外（如：报折扣、报优惠率等），计量单位应使用中华人民共和国法定计量单位，以人民币填报所有报价。</w:t>
      </w:r>
    </w:p>
    <w:p>
      <w:pPr>
        <w:pStyle w:val="null3"/>
        <w:ind w:firstLine="480"/>
      </w:pPr>
      <w:r>
        <w:rPr/>
        <w:t xml:space="preserve"> 2.8响应文件以及供应商与采购人、代理机构就有关响应的往来函电均应使用中文。供应商提交的支持性文件和印制的文件可以用另一种语言，但相应内容应翻译成中文，在解释响应文件时以中文文本为准。</w:t>
      </w:r>
    </w:p>
    <w:p>
      <w:pPr>
        <w:pStyle w:val="null3"/>
        <w:ind w:firstLine="480"/>
      </w:pPr>
      <w:r>
        <w:rPr/>
        <w:t xml:space="preserve"> 2.9供应商应按磋商文件的规定及附件要求的内容和格式完整地填写和提供资料。供应商必须对响应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pPr>
        <w:pStyle w:val="null3"/>
        <w:outlineLvl w:val="3"/>
      </w:pPr>
      <w:r>
        <w:rPr>
          <w:sz w:val="24"/>
          <w:b/>
        </w:rPr>
        <w:t>3.响应文件的提交</w:t>
      </w:r>
    </w:p>
    <w:p>
      <w:pPr>
        <w:pStyle w:val="null3"/>
        <w:ind w:firstLine="480"/>
      </w:pPr>
      <w:r>
        <w:rPr/>
        <w:t xml:space="preserve"> 3.1在响应文件提交截止时间前，供应商须将电子响应文件成功完整上传到云平台项目采购系统，且取得响应回执。时间以云平台项目采购系统服务器从中国科学院国家授时中心取得的北京时间为准，递交响应文件截止时间结束后，系统将不允许供应商上传响应文件，已上传响应文件但未完成传输的文件系统将拒绝接收。</w:t>
      </w:r>
    </w:p>
    <w:p>
      <w:pPr>
        <w:pStyle w:val="null3"/>
        <w:ind w:firstLine="480"/>
      </w:pPr>
      <w:r>
        <w:rPr/>
        <w:t>3.2代理机构对因不可抗力事件造成的响应文件的损坏、丢失的，不承担责任。</w:t>
      </w:r>
    </w:p>
    <w:p>
      <w:pPr>
        <w:pStyle w:val="null3"/>
        <w:ind w:firstLine="480"/>
      </w:pPr>
      <w:r>
        <w:rPr/>
        <w:t>3.3出现下述情形之一，属于未成功提交响应文件，按无效响应处理：</w:t>
      </w:r>
    </w:p>
    <w:p>
      <w:pPr>
        <w:pStyle w:val="null3"/>
        <w:ind w:firstLine="480"/>
      </w:pPr>
      <w:r>
        <w:rPr/>
        <w:t>（1）至提交响应文件截止时，响应文件未完整上传并取得响应回执的。</w:t>
      </w:r>
    </w:p>
    <w:p>
      <w:pPr>
        <w:pStyle w:val="null3"/>
        <w:ind w:firstLine="480"/>
      </w:pPr>
      <w:r>
        <w:rPr/>
        <w:t>（2）响应文件未按响应格式中注明需签字盖章的要求进行签名（含电子签名）和加盖电子印章，或签名（含电子签名）或电子印章不完整的。</w:t>
      </w:r>
    </w:p>
    <w:p>
      <w:pPr>
        <w:pStyle w:val="null3"/>
        <w:ind w:firstLine="480"/>
      </w:pPr>
      <w:r>
        <w:rPr/>
        <w:t>（3）响应文件损坏或格式不正确的。</w:t>
      </w:r>
    </w:p>
    <w:p>
      <w:pPr>
        <w:pStyle w:val="null3"/>
        <w:outlineLvl w:val="3"/>
      </w:pPr>
      <w:r>
        <w:rPr>
          <w:sz w:val="24"/>
          <w:b/>
        </w:rPr>
        <w:t>4.响应文件的修改、撤回与撤销</w:t>
      </w:r>
    </w:p>
    <w:p>
      <w:pPr>
        <w:pStyle w:val="null3"/>
        <w:ind w:firstLine="480"/>
      </w:pPr>
      <w:r>
        <w:rPr/>
        <w:t xml:space="preserve"> 4.1在提交响应文件截止时间前，供应商可以修改或撤回未解密的电子响应文件，并于提交响应文件截止时间前将修改后重新生成的电子响应文件上传至系统，到达响应文件提交截止时间后，将不允许修改或撤回。</w:t>
      </w:r>
    </w:p>
    <w:p>
      <w:pPr>
        <w:pStyle w:val="null3"/>
        <w:ind w:firstLine="480"/>
      </w:pPr>
      <w:r>
        <w:rPr/>
        <w:t>4.2在提交响应文件截止时间后，供应商不得补充、修改和更换响应文件。</w:t>
      </w:r>
    </w:p>
    <w:p>
      <w:pPr>
        <w:pStyle w:val="null3"/>
        <w:outlineLvl w:val="3"/>
      </w:pPr>
      <w:r>
        <w:rPr>
          <w:sz w:val="24"/>
          <w:b/>
        </w:rPr>
        <w:t>5.响应文件的解密</w:t>
      </w:r>
    </w:p>
    <w:p>
      <w:pPr>
        <w:pStyle w:val="null3"/>
        <w:ind w:firstLine="480"/>
      </w:pPr>
      <w:r>
        <w:rPr/>
        <w:t xml:space="preserve"> 到达开启时间后，供应商需携带并使用制作该响应文件的同一数字证书参加开启解密，供应商须在采购代理机构规定的时间内完成响应文件解密，供应商未携带数字证书或其他非系统原因导致的逾期未解密响应文件，将作无效响应处理。</w:t>
      </w:r>
    </w:p>
    <w:p>
      <w:pPr>
        <w:pStyle w:val="null3"/>
        <w:outlineLvl w:val="3"/>
      </w:pPr>
      <w:r>
        <w:rPr>
          <w:sz w:val="24"/>
          <w:b/>
        </w:rPr>
        <w:t>6.响应保证金</w:t>
      </w:r>
    </w:p>
    <w:p>
      <w:pPr>
        <w:pStyle w:val="null3"/>
        <w:ind w:firstLine="480"/>
      </w:pPr>
      <w:r>
        <w:rPr/>
        <w:t xml:space="preserve"> 6.1响应保证金的缴纳</w:t>
      </w:r>
    </w:p>
    <w:p>
      <w:pPr>
        <w:pStyle w:val="null3"/>
        <w:ind w:firstLine="480"/>
      </w:pPr>
      <w:r>
        <w:rPr/>
        <w:t>供应商在提交响应文件的同时，应按供应商须知前附表规定的金额和缴纳要求缴纳响应保证金，并作为其响应文件的组成部分。</w:t>
      </w:r>
    </w:p>
    <w:p>
      <w:pPr>
        <w:pStyle w:val="null3"/>
        <w:ind w:firstLine="480"/>
      </w:pPr>
      <w:r>
        <w:rPr/>
        <w:t xml:space="preserve"> 如采用转账、支票、本票、汇票形式提交的，响应保证金从供应商基本账户递交，由</w:t>
      </w:r>
      <w:r>
        <w:rPr/>
        <w:t>广东省建东工程监理有限公司中山分公司</w:t>
      </w:r>
      <w:r>
        <w:rPr/>
        <w:t>代收。具体操作要求详见</w:t>
      </w:r>
      <w:r>
        <w:rPr/>
        <w:t>广东省建东工程监理有限公司中山分公司</w:t>
      </w:r>
      <w:r>
        <w:rPr/>
        <w:t>有关指引，递交事宜请自行咨询</w:t>
      </w:r>
      <w:r>
        <w:rPr/>
        <w:t>广东省建东工程监理有限公司中山分公司</w:t>
      </w:r>
      <w:r>
        <w:rPr/>
        <w:t>；请各供应商在响应文件递交截止时间前按须知前附表规定的金额递交至</w:t>
      </w:r>
      <w:r>
        <w:rPr/>
        <w:t>广东省建东工程监理有限公司中山分公司</w:t>
      </w:r>
      <w:r>
        <w:rPr/>
        <w:t>，到账情况以开启时</w:t>
      </w:r>
      <w:r>
        <w:rPr/>
        <w:t>广东省建东工程监理有限公司中山分公司</w:t>
      </w:r>
      <w:r>
        <w:rPr/>
        <w:t>查询的信息为准。</w:t>
      </w:r>
    </w:p>
    <w:p>
      <w:pPr>
        <w:pStyle w:val="null3"/>
        <w:ind w:firstLine="480"/>
      </w:pPr>
      <w:r>
        <w:rPr/>
        <w:t>如采用金融机构、专业担保机构开具的响应保函、响应保证保险函等形式提交响应保证金的，响应保函或响应保证保险函须开具给采购人（保险受益人须为采购人），并与响应文件一同递交。</w:t>
      </w:r>
    </w:p>
    <w:p>
      <w:pPr>
        <w:pStyle w:val="null3"/>
        <w:ind w:firstLine="480"/>
      </w:pPr>
      <w:r>
        <w:rPr/>
        <w:t xml:space="preserve"> 供应商可通过"广东政府采购智慧云平台金融服务中心"(https://gdgpo.czt.gd.gov.cn/zcdservice/zcd/guangdong/)，申请办理电子保函，电子保函与纸质保函具有同样效力。</w:t>
      </w:r>
    </w:p>
    <w:p>
      <w:pPr>
        <w:pStyle w:val="null3"/>
        <w:ind w:firstLine="480"/>
      </w:pPr>
      <w:r>
        <w:rPr/>
        <w:t xml:space="preserve"> 注意事项：供应商通过线下方式缴纳保证金（转账、支票、汇票、本票、纸质保函）的，需准备缴纳凭证的扫描件作为核验凭证；通过电子保函形式缴纳保证金的，如遇开启或评审现场无法拉取电子保函信息时，可提供电子保函打印件或购买凭证作为核验凭证。相关凭证应上传至系统归档保存。</w:t>
      </w:r>
    </w:p>
    <w:p>
      <w:pPr>
        <w:pStyle w:val="null3"/>
        <w:ind w:firstLine="480"/>
      </w:pPr>
      <w:r>
        <w:rPr/>
        <w:t>6.2响应保证金的退还：</w:t>
      </w:r>
    </w:p>
    <w:p>
      <w:pPr>
        <w:pStyle w:val="null3"/>
        <w:ind w:firstLine="480"/>
      </w:pPr>
      <w:r>
        <w:rPr/>
        <w:t>（1）供应商在递交响应文件截止时间前放弃响应的，自所投采购包结果公告发出后5个工作日内退还。</w:t>
      </w:r>
    </w:p>
    <w:p>
      <w:pPr>
        <w:pStyle w:val="null3"/>
        <w:ind w:firstLine="480"/>
      </w:pPr>
      <w:r>
        <w:rPr/>
        <w:t>（2）未成交的供应商保证金，在成交通知书发出后5个工作日内原额退还。</w:t>
      </w:r>
    </w:p>
    <w:p>
      <w:pPr>
        <w:pStyle w:val="null3"/>
        <w:ind w:firstLine="480"/>
      </w:pPr>
      <w:r>
        <w:rPr/>
        <w:t>（3）成交供应商的响应保证金,在成交供应商与采购人签订采购合同后5个工作日内原额退还。</w:t>
      </w:r>
    </w:p>
    <w:p>
      <w:pPr>
        <w:pStyle w:val="null3"/>
        <w:ind w:firstLine="480"/>
      </w:pPr>
      <w:r>
        <w:rPr/>
        <w:t>备注：但因供应商自身原因导致无法及时退还的除外。</w:t>
      </w:r>
    </w:p>
    <w:p>
      <w:pPr>
        <w:pStyle w:val="null3"/>
        <w:ind w:firstLine="480"/>
      </w:pPr>
      <w:r>
        <w:rPr/>
        <w:t xml:space="preserve"> 6.3有下列情形之一的，响应保证金将不予退还并上缴国库：</w:t>
      </w:r>
    </w:p>
    <w:p>
      <w:pPr>
        <w:pStyle w:val="null3"/>
        <w:ind w:firstLine="480"/>
      </w:pPr>
      <w:r>
        <w:rPr/>
        <w:t>（1）提供虚假材料谋取成交的；</w:t>
      </w:r>
    </w:p>
    <w:p>
      <w:pPr>
        <w:pStyle w:val="null3"/>
        <w:ind w:firstLine="480"/>
      </w:pPr>
      <w:r>
        <w:rPr/>
        <w:t>（2）供应商在磋商文件规定的响应有效期内撤销其响应；</w:t>
      </w:r>
    </w:p>
    <w:p>
      <w:pPr>
        <w:pStyle w:val="null3"/>
        <w:ind w:firstLine="480"/>
      </w:pPr>
      <w:r>
        <w:rPr/>
        <w:t>（3）成交后，无正当理由放弃成交资格；</w:t>
      </w:r>
    </w:p>
    <w:p>
      <w:pPr>
        <w:pStyle w:val="null3"/>
        <w:ind w:firstLine="480"/>
      </w:pPr>
      <w:r>
        <w:rPr/>
        <w:t>（4）成交后，无正当理由不与采购人签订合同；</w:t>
      </w:r>
    </w:p>
    <w:p>
      <w:pPr>
        <w:pStyle w:val="null3"/>
        <w:ind w:firstLine="480"/>
      </w:pPr>
      <w:r>
        <w:rPr/>
        <w:t>（5）法律法规和磋商文件规定的其他情形。</w:t>
      </w:r>
    </w:p>
    <w:p>
      <w:pPr>
        <w:pStyle w:val="null3"/>
        <w:outlineLvl w:val="3"/>
      </w:pPr>
      <w:r>
        <w:rPr>
          <w:sz w:val="24"/>
          <w:b/>
        </w:rPr>
        <w:t>7.响应有效期</w:t>
      </w:r>
    </w:p>
    <w:p>
      <w:pPr>
        <w:pStyle w:val="null3"/>
        <w:ind w:firstLine="480"/>
      </w:pPr>
      <w:r>
        <w:rPr/>
        <w:t>7.1响应有效期内供应商撤销响应文件的，采购人或者采购代理机构可以不退还响应保证金（如有）。采用响应保函方式替代保证金的，采购人或者采购代理机构可以向担保机构索赔保证金。</w:t>
      </w:r>
    </w:p>
    <w:p>
      <w:pPr>
        <w:pStyle w:val="null3"/>
        <w:ind w:firstLine="480"/>
      </w:pPr>
      <w:r>
        <w:rPr/>
        <w:t xml:space="preserve"> 7.2出现特殊情况需延长响应有效期的，采购人或采购代理机构可于响应有效期满之前要求供应商同意延长有效期，要求与答复均以书面形式通知所有供应商。供应商同意延长的，应相应延长其响应保证金（如有）的有效期，但不得要求或被允许修改或撤销其响应文件；供应商可以拒绝延长有效期，但其响应将会被视为无效，拒绝延长有效期的供应商有权收回其响应保证金（如有）。采用响应保函方式替代保证金的，响应有效期超出保函有效期的，采购人或者采购代理机构应提示响应供应商重新开函，未获得有效保函的响应供应商其响应将会被视为无效。</w:t>
      </w:r>
    </w:p>
    <w:p>
      <w:pPr>
        <w:pStyle w:val="null3"/>
        <w:outlineLvl w:val="3"/>
      </w:pPr>
      <w:r>
        <w:rPr>
          <w:sz w:val="24"/>
          <w:b/>
        </w:rPr>
        <w:t>8.样品（演示）</w:t>
      </w:r>
    </w:p>
    <w:p>
      <w:pPr>
        <w:pStyle w:val="null3"/>
        <w:ind w:firstLine="480"/>
      </w:pPr>
      <w:r>
        <w:rPr/>
        <w:t>8.1磋商文件规定供应商提交样品的，样品属于响应文件的组成部分。样品的生产、运输、安装、保全等一切费用由供应商自理。</w:t>
      </w:r>
    </w:p>
    <w:p>
      <w:pPr>
        <w:pStyle w:val="null3"/>
        <w:ind w:firstLine="480"/>
      </w:pPr>
      <w:r>
        <w:rPr/>
        <w:t>8.2递交响应文件截止时间前，供应商应将样品送达至指定地点。若需要现场演示的，供应商应提前做好演示准备（包括演示设备）。</w:t>
      </w:r>
    </w:p>
    <w:p>
      <w:pPr>
        <w:pStyle w:val="null3"/>
        <w:ind w:firstLine="480"/>
      </w:pPr>
      <w:r>
        <w:rPr/>
        <w:t xml:space="preserve"> 8.3采购结果公告发布后，成交供应商的样品由采购人封存，作为履约验收的依据之一。未成交供应商在接到采购代理机构通知后，应按规定时间尽快自行取回样品，否则视同供应商不再认领，代理机构有权进行处理。</w:t>
      </w:r>
    </w:p>
    <w:p>
      <w:pPr>
        <w:pStyle w:val="null3"/>
        <w:outlineLvl w:val="3"/>
      </w:pPr>
      <w:r>
        <w:rPr>
          <w:sz w:val="24"/>
          <w:b/>
        </w:rPr>
        <w:t>9.除磋商文件另有规定外，有下列情形之一的，响应无效：</w:t>
      </w:r>
    </w:p>
    <w:p>
      <w:pPr>
        <w:pStyle w:val="null3"/>
        <w:ind w:firstLine="480"/>
      </w:pPr>
      <w:r>
        <w:rPr/>
        <w:t>9.1响应文件未按照磋商文件要求签署、盖章；</w:t>
      </w:r>
    </w:p>
    <w:p>
      <w:pPr>
        <w:pStyle w:val="null3"/>
        <w:ind w:firstLine="480"/>
      </w:pPr>
      <w:r>
        <w:rPr/>
        <w:t>9.2不符合磋商文件中规定的资格要求；</w:t>
      </w:r>
    </w:p>
    <w:p>
      <w:pPr>
        <w:pStyle w:val="null3"/>
        <w:ind w:firstLine="480"/>
      </w:pPr>
      <w:r>
        <w:rPr/>
        <w:t>9.3磋商报价超过磋商文件中规定的预算金额或最高限价；</w:t>
      </w:r>
    </w:p>
    <w:p>
      <w:pPr>
        <w:pStyle w:val="null3"/>
        <w:ind w:firstLine="480"/>
      </w:pPr>
      <w:r>
        <w:rPr/>
        <w:t>9.4响应文件含有采购人不能接受的附加条件；</w:t>
      </w:r>
    </w:p>
    <w:p>
      <w:pPr>
        <w:pStyle w:val="null3"/>
        <w:ind w:firstLine="480"/>
      </w:pPr>
      <w:r>
        <w:rPr/>
        <w:t>9.5有关法律、法规和规章及磋商文件规定的其他无效情形。</w:t>
      </w:r>
    </w:p>
    <w:p>
      <w:pPr>
        <w:pStyle w:val="null3"/>
        <w:outlineLvl w:val="2"/>
      </w:pPr>
      <w:r>
        <w:rPr>
          <w:sz w:val="28"/>
          <w:b/>
        </w:rPr>
        <w:t>六、磋商、评审和结果确定</w:t>
      </w:r>
    </w:p>
    <w:p>
      <w:pPr>
        <w:pStyle w:val="null3"/>
        <w:outlineLvl w:val="3"/>
      </w:pPr>
      <w:r>
        <w:rPr>
          <w:sz w:val="24"/>
          <w:b/>
        </w:rPr>
        <w:t>1.响应文件的开启</w:t>
      </w:r>
    </w:p>
    <w:p>
      <w:pPr>
        <w:pStyle w:val="null3"/>
        <w:ind w:firstLine="480"/>
      </w:pPr>
      <w:r>
        <w:rPr/>
        <w:t>1.1开启程序</w:t>
      </w:r>
    </w:p>
    <w:p>
      <w:pPr>
        <w:pStyle w:val="null3"/>
        <w:ind w:firstLine="480"/>
      </w:pPr>
      <w:r>
        <w:rPr/>
        <w:t>工作人员按磋商公告规定的时间进行开启，由采购人或者采购代理机构工作人员宣布供应商名称、解密情况和磋商文件规定的需要宣布的其他内容。开启分为现场电子开启和远程电子开启两种。</w:t>
      </w:r>
    </w:p>
    <w:p>
      <w:pPr>
        <w:pStyle w:val="null3"/>
        <w:ind w:firstLine="480"/>
      </w:pPr>
      <w:r>
        <w:rPr/>
        <w:t xml:space="preserve"> 采用现场电子开启的：供应商的法定代表人或其委托代理人应当按照本磋商公告载明的时间和地点前往参加开启，并携带编制本项目（采购包）电子响应文件时加密所用的数字证书、存储有备用电子响应文件的U盘前往开启现场。</w:t>
      </w:r>
    </w:p>
    <w:p>
      <w:pPr>
        <w:pStyle w:val="null3"/>
        <w:ind w:firstLine="480"/>
      </w:pPr>
      <w:r>
        <w:rPr/>
        <w:t xml:space="preserve"> 采用远程电子开启的：供应商的法定代表人或其授权代表应当按照本磋商公告载明的时间和模式等要求参加开启。在递交响应文件截止时间前30分钟，应当登录云平台开标大厅进行签到，并且填写授权代表的姓名与手机号码。若因签到时填写的授权代表信息有误而导致的不良后果，由供应商自行承担。</w:t>
      </w:r>
    </w:p>
    <w:p>
      <w:pPr>
        <w:pStyle w:val="null3"/>
        <w:ind w:firstLine="480"/>
      </w:pPr>
      <w:r>
        <w:rPr/>
        <w:t xml:space="preserve"> 开启时，供应商应当使用编制本项目（采购包）电子响应文件时加密所用数字证书在开始解密后按照代理机构规定的时间内完成电子响应文件的解密，如遇不可抗力等其他特殊情况，采购代理机构可视情况延长解密时间。供应商未携带数字证书或其他非系统原因导致的在规定时间内未解密响应文件，将作无效响应处理。（采用远程电子开启的，各供应商在参加开启以前须自行对使用电脑的网络环境、驱动安装、客户端安装以及数字证书的有效性等进行检测，确保可以正常使用）。</w:t>
      </w:r>
    </w:p>
    <w:p>
      <w:pPr>
        <w:pStyle w:val="null3"/>
        <w:ind w:firstLine="480"/>
      </w:pPr>
      <w:r>
        <w:rPr/>
        <w:t xml:space="preserve"> 如在电子开启过程中出现无法正常解密的，代理机构可根据实际情况开启上传备用电子响应文件通道。系统将对上传的备用电子响应文件的合法性进行验证，若发现提交的备用电子响应文件与加密的电子响应文件版本不一致（即两份文件不是通过投标客户端同时加密生成的），系统将拒绝接收，视为无效响应。如供应商无法在代理规定的时间内完成备用电子响应文件的上传，响应将被拒绝，作无效响应处理。</w:t>
      </w:r>
    </w:p>
    <w:p>
      <w:pPr>
        <w:pStyle w:val="null3"/>
        <w:ind w:firstLine="480"/>
      </w:pPr>
      <w:r>
        <w:rPr/>
        <w:t>1.2异议</w:t>
      </w:r>
    </w:p>
    <w:p>
      <w:pPr>
        <w:pStyle w:val="null3"/>
        <w:ind w:firstLine="480"/>
      </w:pPr>
      <w:r>
        <w:rPr/>
        <w:t>供应商代表对开启过程和开启记录有疑义，以及认为采购人、采购代理机构相关工作人员有需要回避的情形的，应当场提出询问或者回避申请。供应商未参加开启的，视同认可开启结果。</w:t>
      </w:r>
    </w:p>
    <w:p>
      <w:pPr>
        <w:pStyle w:val="null3"/>
        <w:ind w:firstLine="480"/>
      </w:pPr>
      <w:r>
        <w:rPr/>
        <w:t>1.3开启时出现下列情况的，视为响应无效处理</w:t>
      </w:r>
    </w:p>
    <w:p>
      <w:pPr>
        <w:pStyle w:val="null3"/>
        <w:ind w:firstLine="480"/>
      </w:pPr>
      <w:r>
        <w:rPr/>
        <w:t>（1）经检查数字证书无效的；</w:t>
      </w:r>
    </w:p>
    <w:p>
      <w:pPr>
        <w:pStyle w:val="null3"/>
        <w:ind w:firstLine="480"/>
      </w:pPr>
      <w:r>
        <w:rPr/>
        <w:t>（2）因供应商自身原因，未在规定时间内完成电子响应文件解密的；</w:t>
      </w:r>
    </w:p>
    <w:p>
      <w:pPr>
        <w:pStyle w:val="null3"/>
        <w:ind w:firstLine="480"/>
      </w:pPr>
      <w:r>
        <w:rPr/>
        <w:t>（3）如需使用备用电子响应文件解密时，在规定的解密时间内无法提供备用电子响应文件或提供的备用电子响应文件与加密的电子响应文件版本不一致（即两份文件不是通过投标客户端同时加密生成的）。</w:t>
      </w:r>
    </w:p>
    <w:p>
      <w:pPr>
        <w:pStyle w:val="null3"/>
        <w:outlineLvl w:val="3"/>
      </w:pPr>
      <w:r>
        <w:rPr>
          <w:sz w:val="24"/>
          <w:b/>
        </w:rPr>
        <w:t>2.评审（详见第四章）</w:t>
      </w:r>
    </w:p>
    <w:p>
      <w:pPr>
        <w:pStyle w:val="null3"/>
        <w:outlineLvl w:val="3"/>
      </w:pPr>
      <w:r>
        <w:rPr>
          <w:sz w:val="24"/>
          <w:b/>
        </w:rPr>
        <w:t>3.成交</w:t>
      </w:r>
    </w:p>
    <w:p>
      <w:pPr>
        <w:pStyle w:val="null3"/>
        <w:ind w:firstLine="480"/>
      </w:pPr>
      <w:r>
        <w:rPr/>
        <w:t>3.1成交结果公告：</w:t>
      </w:r>
    </w:p>
    <w:p>
      <w:pPr>
        <w:pStyle w:val="null3"/>
        <w:ind w:firstLine="480"/>
      </w:pPr>
      <w:r>
        <w:rPr/>
        <w:t xml:space="preserve"> 成交供应商确定之日起2个工作日内，采购人或采购代理机构将在中国政府采购网(www.ccgp.gov.cn)、广东省政府采购网(https://gdgpo.czt.gd.gov.cn/)、</w:t>
      </w:r>
      <w:r>
        <w:rPr/>
        <w:t>广东省公共资源交易平台（https://ygp.gdzwfw.gov.cn/#/442000/index），采购代理机构网站（http://www.gdjdjl.com/）</w:t>
      </w:r>
      <w:r>
        <w:rPr/>
        <w:t>上以公告的形式发布成交结果，结果公告的公告期限为 1 个工作日。结果公告同时作为采购代理机构通知除成交供应商外的其他供应商没有成交的书面形式，采购代理机构不再以其它方式另行通知。</w:t>
      </w:r>
    </w:p>
    <w:p>
      <w:pPr>
        <w:pStyle w:val="null3"/>
        <w:ind w:firstLine="480"/>
      </w:pPr>
      <w:r>
        <w:rPr/>
        <w:t>3.2成交通知书：</w:t>
      </w:r>
    </w:p>
    <w:p>
      <w:pPr>
        <w:pStyle w:val="null3"/>
        <w:ind w:firstLine="480"/>
      </w:pPr>
      <w:r>
        <w:rPr/>
        <w:t xml:space="preserve"> 采购人或采购代理机构在发布结果公告时，在云平台同步发送至成交供应商。成交供应商可在云平台自行下载打印《成交通知书》，《成交通知书》将作为授予合同资格的唯一合法依据。成交通知书发出后，采购人不得违法改变成交结果，成交供应商不得放弃成交。成交供应商放弃成交的，应当依法承担相应的法律责任。</w:t>
      </w:r>
    </w:p>
    <w:p>
      <w:pPr>
        <w:pStyle w:val="null3"/>
        <w:ind w:firstLine="480"/>
      </w:pPr>
      <w:r>
        <w:rPr/>
        <w:t>3.3终止公告：</w:t>
      </w:r>
    </w:p>
    <w:p>
      <w:pPr>
        <w:pStyle w:val="null3"/>
        <w:ind w:firstLine="480"/>
      </w:pPr>
      <w:r>
        <w:rPr/>
        <w:t xml:space="preserve"> 终止磋商采购活动后，采购人或采购代理机构将在中国政府采购网(www.ccgp.gov.cn)、广东省政府采购网(https://gdgpo.czt.gd.gov.cn/)、</w:t>
      </w:r>
      <w:r>
        <w:rPr/>
        <w:t>广东省公共资源交易平台（https://ygp.gdzwfw.gov.cn/#/442000/index），采购代理机构网站（http://www.gdjdjl.com/）</w:t>
      </w:r>
      <w:r>
        <w:rPr/>
        <w:t>上发布终止公告，终止公告的公告期限为 1 个工作日。</w:t>
      </w:r>
    </w:p>
    <w:p>
      <w:pPr>
        <w:pStyle w:val="null3"/>
        <w:outlineLvl w:val="2"/>
      </w:pPr>
      <w:r>
        <w:rPr>
          <w:sz w:val="28"/>
          <w:b/>
        </w:rPr>
        <w:t>七、询问、质疑与投诉</w:t>
      </w:r>
    </w:p>
    <w:p>
      <w:pPr>
        <w:pStyle w:val="null3"/>
        <w:outlineLvl w:val="3"/>
      </w:pPr>
      <w:r>
        <w:rPr>
          <w:sz w:val="24"/>
          <w:b/>
        </w:rPr>
        <w:t>1.询问</w:t>
      </w:r>
    </w:p>
    <w:p>
      <w:pPr>
        <w:pStyle w:val="null3"/>
        <w:ind w:firstLine="480"/>
      </w:pPr>
      <w:r>
        <w:rPr/>
        <w:t xml:space="preserve"> 供应商对政府采购活动事项（磋商文件、采购过程和成交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响应邀请函》中“采购人、采购代理机构的名称、地址和联系方式”。</w:t>
      </w:r>
    </w:p>
    <w:p>
      <w:pPr>
        <w:pStyle w:val="null3"/>
        <w:outlineLvl w:val="3"/>
      </w:pPr>
      <w:r>
        <w:rPr>
          <w:sz w:val="24"/>
          <w:b/>
        </w:rPr>
        <w:t>2.质疑</w:t>
      </w:r>
    </w:p>
    <w:p>
      <w:pPr>
        <w:pStyle w:val="null3"/>
        <w:ind w:firstLine="480"/>
      </w:pPr>
      <w:r>
        <w:rPr/>
        <w:t xml:space="preserve"> 2.1供应商认为磋商文件、采购过程和成交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pStyle w:val="null3"/>
        <w:ind w:firstLine="480"/>
      </w:pPr>
      <w:r>
        <w:rPr/>
        <w:t>（1）对磋商文件提出质疑的，为获取磋商文件之日或者磋商文件公告期限届满之日；</w:t>
      </w:r>
    </w:p>
    <w:p>
      <w:pPr>
        <w:pStyle w:val="null3"/>
        <w:ind w:firstLine="480"/>
      </w:pPr>
      <w:r>
        <w:rPr/>
        <w:t>（2）对采购过程提出质疑的，为各采购程序环节结束之日；</w:t>
      </w:r>
    </w:p>
    <w:p>
      <w:pPr>
        <w:pStyle w:val="null3"/>
        <w:ind w:firstLine="480"/>
      </w:pPr>
      <w:r>
        <w:rPr/>
        <w:t>（3）对成交结果提出质疑的，为成交结果公告期限届满之日。</w:t>
      </w:r>
    </w:p>
    <w:p>
      <w:pPr>
        <w:pStyle w:val="null3"/>
        <w:ind w:firstLine="480"/>
      </w:pPr>
      <w:r>
        <w:rPr/>
        <w:t>2.2质疑函应当包括下列主要内容：</w:t>
      </w:r>
    </w:p>
    <w:p>
      <w:pPr>
        <w:pStyle w:val="null3"/>
        <w:ind w:firstLine="480"/>
      </w:pPr>
      <w:r>
        <w:rPr/>
        <w:t>（1）质疑供应商和相关供应商的名称、地址、邮编、联系人及联系电话等；</w:t>
      </w:r>
    </w:p>
    <w:p>
      <w:pPr>
        <w:pStyle w:val="null3"/>
        <w:ind w:firstLine="480"/>
      </w:pPr>
      <w:r>
        <w:rPr/>
        <w:t>（2）质疑项目名称及编号、具体明确的质疑事项和与质疑事项相关的请求；</w:t>
      </w:r>
    </w:p>
    <w:p>
      <w:pPr>
        <w:pStyle w:val="null3"/>
        <w:ind w:firstLine="480"/>
      </w:pPr>
      <w:r>
        <w:rPr/>
        <w:t>（3）认为磋商文件、采购过程和成交结果使自己的合法权益受到损害的法律依据、事实依据、相关证明材料及证据来源；</w:t>
      </w:r>
    </w:p>
    <w:p>
      <w:pPr>
        <w:pStyle w:val="null3"/>
        <w:ind w:firstLine="480"/>
      </w:pPr>
      <w:r>
        <w:rPr/>
        <w:t>（4）提出质疑的日期。</w:t>
      </w:r>
    </w:p>
    <w:p>
      <w:pPr>
        <w:pStyle w:val="null3"/>
        <w:ind w:firstLine="480"/>
      </w:pPr>
      <w:r>
        <w:rPr/>
        <w:t>2.3质疑函应当署名。质疑供应商为自然人的，应当由本人签字；质疑供应商为法人或者其他组织的，应当由法定代表人、主要负责人，或者其授权代表签字或者盖章，并加盖公章。</w:t>
      </w:r>
    </w:p>
    <w:p>
      <w:pPr>
        <w:pStyle w:val="null3"/>
        <w:ind w:firstLine="480"/>
      </w:pPr>
      <w:r>
        <w:rPr/>
        <w:t>2.4以联合体形式参加政府采购活动的，其质疑应当由联合体成员委托主体提出。</w:t>
      </w:r>
    </w:p>
    <w:p>
      <w:pPr>
        <w:pStyle w:val="null3"/>
        <w:ind w:firstLine="480"/>
      </w:pPr>
      <w:r>
        <w:rPr/>
        <w:t xml:space="preserve"> 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pStyle w:val="null3"/>
        <w:ind w:firstLine="480"/>
      </w:pPr>
      <w:r>
        <w:rPr/>
        <w:t>2.6质疑联系方式如下：</w:t>
      </w:r>
    </w:p>
    <w:p>
      <w:pPr>
        <w:pStyle w:val="null3"/>
        <w:ind w:firstLine="480"/>
      </w:pPr>
      <w:r>
        <w:rPr/>
        <w:t>质疑联系人：</w:t>
      </w:r>
      <w:r>
        <w:rPr/>
        <w:t>罗小姐</w:t>
      </w:r>
    </w:p>
    <w:p>
      <w:pPr>
        <w:pStyle w:val="null3"/>
        <w:ind w:firstLine="480"/>
      </w:pPr>
      <w:r>
        <w:rPr/>
        <w:t>电话：</w:t>
      </w:r>
      <w:r>
        <w:rPr/>
        <w:t>0760-88399895</w:t>
      </w:r>
    </w:p>
    <w:p>
      <w:pPr>
        <w:pStyle w:val="null3"/>
        <w:ind w:firstLine="480"/>
      </w:pPr>
      <w:r>
        <w:rPr/>
        <w:t>传真：</w:t>
      </w:r>
      <w:r>
        <w:rPr/>
        <w:t>0760-88399895</w:t>
      </w:r>
    </w:p>
    <w:p>
      <w:pPr>
        <w:pStyle w:val="null3"/>
        <w:ind w:firstLine="480"/>
      </w:pPr>
      <w:r>
        <w:rPr/>
        <w:t>邮箱：</w:t>
      </w:r>
      <w:r>
        <w:rPr/>
        <w:t>jdzs_cg2017@163.com</w:t>
      </w:r>
    </w:p>
    <w:p>
      <w:pPr>
        <w:pStyle w:val="null3"/>
        <w:ind w:firstLine="480"/>
      </w:pPr>
      <w:r>
        <w:rPr/>
        <w:t>地址：</w:t>
      </w:r>
      <w:r>
        <w:rPr/>
        <w:t>中山市东区小鳌溪小陂路五巷54号二层B2卡</w:t>
      </w:r>
    </w:p>
    <w:p>
      <w:pPr>
        <w:pStyle w:val="null3"/>
        <w:ind w:firstLine="480"/>
      </w:pPr>
      <w:r>
        <w:rPr/>
        <w:t>邮编：</w:t>
      </w:r>
      <w:r>
        <w:rPr/>
        <w:t>528400</w:t>
      </w:r>
    </w:p>
    <w:p>
      <w:pPr>
        <w:pStyle w:val="null3"/>
        <w:outlineLvl w:val="3"/>
      </w:pPr>
      <w:r>
        <w:rPr>
          <w:sz w:val="24"/>
          <w:b/>
        </w:rPr>
        <w:t>3.投诉</w:t>
      </w:r>
    </w:p>
    <w:p>
      <w:pPr>
        <w:pStyle w:val="null3"/>
        <w:ind w:firstLine="480"/>
      </w:pPr>
      <w:r>
        <w:rPr/>
        <w:t>质疑人对采购人或采购代理机构的质疑答复不满意或在规定时间内未得到答复的，可以在答复期满后15个工作日内，按如下联系方式向本项目监督管理部门提起投诉。</w:t>
      </w:r>
    </w:p>
    <w:p>
      <w:pPr>
        <w:pStyle w:val="null3"/>
      </w:pPr>
      <w:r>
        <w:rPr/>
        <w:t>政府采购监督管理机构名称：中山市财政局政府采购监管科</w:t>
      </w:r>
    </w:p>
    <w:p>
      <w:pPr>
        <w:pStyle w:val="null3"/>
      </w:pPr>
      <w:r>
        <w:rPr/>
        <w:t>地 址：广东省中山市兴中道63号101室</w:t>
      </w:r>
    </w:p>
    <w:p>
      <w:pPr>
        <w:pStyle w:val="null3"/>
      </w:pPr>
      <w:r>
        <w:rPr/>
        <w:t>电 话：0760-88266297、88266299</w:t>
      </w:r>
    </w:p>
    <w:p>
      <w:pPr>
        <w:pStyle w:val="null3"/>
      </w:pPr>
      <w:r>
        <w:rPr/>
        <w:t>邮 编：528400</w:t>
      </w:r>
    </w:p>
    <w:p>
      <w:pPr>
        <w:pStyle w:val="null3"/>
      </w:pPr>
      <w:r>
        <w:rPr/>
        <w:t>传 真：0760-88266215</w:t>
      </w:r>
    </w:p>
    <w:p>
      <w:pPr>
        <w:pStyle w:val="null3"/>
        <w:outlineLvl w:val="2"/>
      </w:pPr>
      <w:r>
        <w:rPr>
          <w:sz w:val="28"/>
          <w:b/>
        </w:rPr>
        <w:t>八、合同签订和履行</w:t>
      </w:r>
    </w:p>
    <w:p>
      <w:pPr>
        <w:pStyle w:val="null3"/>
        <w:outlineLvl w:val="3"/>
      </w:pPr>
      <w:r>
        <w:rPr>
          <w:sz w:val="24"/>
          <w:b/>
        </w:rPr>
        <w:t>1.合同签订</w:t>
      </w:r>
    </w:p>
    <w:p>
      <w:pPr>
        <w:pStyle w:val="null3"/>
        <w:ind w:firstLine="480"/>
      </w:pPr>
      <w:r>
        <w:rPr/>
        <w:t xml:space="preserve"> 1.1采购人应当自《成交通知书》发出之日起三十日内，按照磋商文件和成交供应商响应文件的约定，与成交供应商签订合同。所签订的合同不得对磋商文件和成交供应商响应文件作实质性修改。</w:t>
      </w:r>
    </w:p>
    <w:p>
      <w:pPr>
        <w:pStyle w:val="null3"/>
        <w:ind w:firstLine="480"/>
      </w:pPr>
      <w:r>
        <w:rPr/>
        <w:t>1.2采购人不得提出试用合格等任何不合理的要求作为签订合同的条件，且不得与成交供应商私下订立背离合同实质性内容的协议。</w:t>
      </w:r>
    </w:p>
    <w:p>
      <w:pPr>
        <w:pStyle w:val="null3"/>
        <w:ind w:firstLine="480"/>
      </w:pPr>
      <w:r>
        <w:rPr/>
        <w:t>1.3合同条款中应规定，乙方完全遵守《中华人民共和国民法典》有关规定和《中华人民共和国妇女权益保障法》中关于“劳动和社会保障权益”的有关要求。</w:t>
      </w:r>
    </w:p>
    <w:p>
      <w:pPr>
        <w:pStyle w:val="null3"/>
        <w:ind w:firstLine="480"/>
      </w:pPr>
      <w:r>
        <w:rPr/>
        <w:t>1.4采购人应当自政府采购合同签订之日起2个工作日内，将政府采购合同在省级以上人民政府财政部门指定的媒体上公告，但政府采购合同中涉及国家秘密、商业秘密的内容除外。</w:t>
      </w:r>
    </w:p>
    <w:p>
      <w:pPr>
        <w:pStyle w:val="null3"/>
        <w:ind w:firstLine="480"/>
      </w:pPr>
      <w:r>
        <w:rPr/>
        <w:t xml:space="preserve"> 1.5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pPr>
        <w:pStyle w:val="null3"/>
        <w:outlineLvl w:val="3"/>
      </w:pPr>
      <w:r>
        <w:rPr>
          <w:sz w:val="24"/>
          <w:b/>
        </w:rPr>
        <w:t>2.合同的履行</w:t>
      </w:r>
    </w:p>
    <w:p>
      <w:pPr>
        <w:pStyle w:val="null3"/>
        <w:ind w:firstLine="480"/>
      </w:pPr>
      <w:r>
        <w:rPr/>
        <w:t xml:space="preserve"> 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pStyle w:val="null3"/>
        <w:ind w:firstLine="480"/>
      </w:pPr>
      <w:r>
        <w:rPr/>
        <w:t xml:space="preserve"> 2.2政府采购合同履行中，采购人需追加与合同标的相同的货物、工程或者服务的，在不改变合同其他条款的前提下，可以与成交供应商签订补充合同，但所补充合同的采购金额不得超过原采购金额的10%。依法签订的补充合同，也应在补充合同签订之日起2个工作日内登录广东省政府采购网上传备案。</w:t>
      </w:r>
    </w:p>
    <w:p>
      <w:pPr>
        <w:pStyle w:val="null3"/>
      </w:pPr>
      <w:r>
        <w:rPr/>
        <w:t xml:space="preserve">  </w:t>
      </w:r>
    </w:p>
    <w:p>
      <w:pPr>
        <w:pStyle w:val="null3"/>
        <w:jc w:val="center"/>
        <w:outlineLvl w:val="1"/>
      </w:pPr>
      <w:r>
        <w:rPr>
          <w:sz w:val="36"/>
          <w:b/>
        </w:rPr>
        <w:t>第四章 评审</w:t>
      </w:r>
    </w:p>
    <w:p>
      <w:pPr>
        <w:pStyle w:val="null3"/>
        <w:outlineLvl w:val="2"/>
      </w:pPr>
      <w:r>
        <w:rPr>
          <w:sz w:val="28"/>
          <w:b/>
        </w:rPr>
        <w:t>一、评审要求</w:t>
      </w:r>
    </w:p>
    <w:p>
      <w:pPr>
        <w:pStyle w:val="null3"/>
        <w:outlineLvl w:val="3"/>
      </w:pPr>
      <w:r>
        <w:rPr>
          <w:sz w:val="24"/>
          <w:b/>
        </w:rPr>
        <w:t>1.评审方法</w:t>
      </w:r>
    </w:p>
    <w:p>
      <w:pPr>
        <w:pStyle w:val="null3"/>
      </w:pPr>
      <w:r>
        <w:rPr/>
        <w:t>采购包1(民众街道多宝路段和阳光大道等路段违法抓拍系统及交通信号灯后台建设项目)：综合评分法,是指响应文件满足磋商文件全部实质性要求，且按照评审因素的量化指标评审得分最高的投标人为成交候选人的评标方法。（最低报价不是成交的唯一依据。）</w:t>
      </w:r>
    </w:p>
    <w:p>
      <w:pPr>
        <w:pStyle w:val="null3"/>
        <w:outlineLvl w:val="3"/>
      </w:pPr>
      <w:r>
        <w:rPr>
          <w:sz w:val="24"/>
          <w:b/>
        </w:rPr>
        <w:t>2.评审原则</w:t>
      </w:r>
    </w:p>
    <w:p>
      <w:pPr>
        <w:pStyle w:val="null3"/>
        <w:ind w:firstLine="480"/>
      </w:pPr>
      <w:r>
        <w:rPr/>
        <w:t>2.1评审活动遵循公平、公正、科学和择优的原则，以磋商文件和响应文件为评审的基本依据，并按照磋商文件规定的评审方法和评审标准进行评审。</w:t>
      </w:r>
    </w:p>
    <w:p>
      <w:pPr>
        <w:pStyle w:val="null3"/>
        <w:ind w:firstLine="480"/>
      </w:pPr>
      <w:r>
        <w:rPr/>
        <w:t xml:space="preserve"> 2.2具体评审事项由磋商小组负责，并按磋商文件的规定办法进行评审。对磋商文件中描述有歧义或前后不一致的地方，磋商小组有权按法律法规的规定进行评判，但对同一条款的评判应适用于每个响应供应商。</w:t>
      </w:r>
    </w:p>
    <w:p>
      <w:pPr>
        <w:pStyle w:val="null3"/>
        <w:outlineLvl w:val="3"/>
      </w:pPr>
      <w:r>
        <w:rPr>
          <w:sz w:val="24"/>
          <w:b/>
        </w:rPr>
        <w:t>3.磋商小组</w:t>
      </w:r>
    </w:p>
    <w:p>
      <w:pPr>
        <w:pStyle w:val="null3"/>
        <w:ind w:firstLine="480"/>
      </w:pPr>
      <w:r>
        <w:rPr/>
        <w:t>3.1磋商小组由采购人代表和评审专家组成，成员人数应当为3人及以上单数，其中技术、经济等方面的评审专家不得少于成员总数的三分之二。</w:t>
      </w:r>
    </w:p>
    <w:p>
      <w:pPr>
        <w:pStyle w:val="null3"/>
        <w:ind w:firstLine="480"/>
      </w:pPr>
      <w:r>
        <w:rPr/>
        <w:t>3.2评审应遵守下列评审纪律：</w:t>
      </w:r>
    </w:p>
    <w:p>
      <w:pPr>
        <w:pStyle w:val="null3"/>
        <w:ind w:firstLine="480"/>
      </w:pPr>
      <w:r>
        <w:rPr/>
        <w:t>（1）评审情况不得私自外泄，有关信息由</w:t>
      </w:r>
      <w:r>
        <w:rPr/>
        <w:t>广东省建东工程监理有限公司中山分公司</w:t>
      </w:r>
      <w:r>
        <w:rPr/>
        <w:t>统一对外发布。</w:t>
      </w:r>
    </w:p>
    <w:p>
      <w:pPr>
        <w:pStyle w:val="null3"/>
        <w:ind w:firstLine="480"/>
      </w:pPr>
      <w:r>
        <w:rPr/>
        <w:t>（2）对</w:t>
      </w:r>
      <w:r>
        <w:rPr/>
        <w:t>广东省建东工程监理有限公司中山分公司</w:t>
      </w:r>
      <w:r>
        <w:rPr/>
        <w:t>或供应商提供的要求保密的资料，不得摘记翻印和外传。</w:t>
      </w:r>
    </w:p>
    <w:p>
      <w:pPr>
        <w:pStyle w:val="null3"/>
        <w:ind w:firstLine="480"/>
      </w:pPr>
      <w:r>
        <w:rPr/>
        <w:t>（3）不得收受响应供应商或有关人员的任何礼物，不得串联鼓动其他人袒护某供应商。若与供应商存在利害关系，则应主动声明并回避。</w:t>
      </w:r>
    </w:p>
    <w:p>
      <w:pPr>
        <w:pStyle w:val="null3"/>
        <w:ind w:firstLine="480"/>
      </w:pPr>
      <w:r>
        <w:rPr/>
        <w:t>（4）全体评委应按照磋商文件规定进行评审，一切认定事项应查有实据且不得弄虚作假。</w:t>
      </w:r>
    </w:p>
    <w:p>
      <w:pPr>
        <w:pStyle w:val="null3"/>
        <w:ind w:firstLine="480"/>
      </w:pPr>
      <w:r>
        <w:rPr/>
        <w:t>（5）磋商小组各成员应当独立对每个响应供应商的响应文件进行评价，并对评价意见承担个人责任。评审过程中，不得发表倾向性言论。</w:t>
      </w:r>
    </w:p>
    <w:p>
      <w:pPr>
        <w:pStyle w:val="null3"/>
        <w:ind w:firstLine="480"/>
      </w:pPr>
      <w:r>
        <w:rPr/>
        <w:t>※对违反评审纪律的评委，将取消其评委资格，对评审工作造成严重损失者将予以通报批评乃至追究法律责任。</w:t>
      </w:r>
    </w:p>
    <w:p>
      <w:pPr>
        <w:pStyle w:val="null3"/>
        <w:outlineLvl w:val="3"/>
      </w:pPr>
      <w:r>
        <w:rPr>
          <w:sz w:val="24"/>
          <w:b/>
        </w:rPr>
        <w:t>4.有下列情形之一的，视为供应商串通响应，其响应无效</w:t>
      </w:r>
    </w:p>
    <w:p>
      <w:pPr>
        <w:pStyle w:val="null3"/>
        <w:ind w:firstLine="480"/>
      </w:pPr>
      <w:r>
        <w:rPr/>
        <w:t>4.1不同供应商的响应文件由同一单位或者个人编制；</w:t>
      </w:r>
    </w:p>
    <w:p>
      <w:pPr>
        <w:pStyle w:val="null3"/>
        <w:ind w:firstLine="480"/>
      </w:pPr>
      <w:r>
        <w:rPr/>
        <w:t>4.2不同供应商委托同一单位或者个人办理响应事宜；</w:t>
      </w:r>
    </w:p>
    <w:p>
      <w:pPr>
        <w:pStyle w:val="null3"/>
        <w:ind w:firstLine="480"/>
      </w:pPr>
      <w:r>
        <w:rPr/>
        <w:t>4.3不同供应商的响应文件载明的项目管理成员或者联系人员为同一人；</w:t>
      </w:r>
    </w:p>
    <w:p>
      <w:pPr>
        <w:pStyle w:val="null3"/>
        <w:ind w:firstLine="480"/>
      </w:pPr>
      <w:r>
        <w:rPr/>
        <w:t>4.4不同供应商的响应文件异常一致或者响应报价呈规律性差异；</w:t>
      </w:r>
    </w:p>
    <w:p>
      <w:pPr>
        <w:pStyle w:val="null3"/>
        <w:ind w:firstLine="480"/>
      </w:pPr>
      <w:r>
        <w:rPr/>
        <w:t>4.5不同供应商的响应文件相互混装；</w:t>
      </w:r>
    </w:p>
    <w:p>
      <w:pPr>
        <w:pStyle w:val="null3"/>
        <w:ind w:firstLine="480"/>
      </w:pPr>
      <w:r>
        <w:rPr/>
        <w:t>4.6不同供应商的响应保证金或购买电子保函支付款为从同一单位或个人的账户转出。</w:t>
      </w:r>
    </w:p>
    <w:p>
      <w:pPr>
        <w:pStyle w:val="null3"/>
        <w:ind w:firstLine="480"/>
      </w:pPr>
      <w:r>
        <w:rPr/>
        <w:t>4.7供应商上传的电子响应文件使用该项目其他响应供应商的数字证书加密的或加盖该项目的其他响应供应商的电子印章的。</w:t>
      </w:r>
    </w:p>
    <w:p>
      <w:pPr>
        <w:pStyle w:val="null3"/>
        <w:ind w:firstLine="480"/>
      </w:pPr>
      <w:r>
        <w:rPr/>
        <w:t xml:space="preserve"> 说明：在评审过程中发现供应商有上述情形的，磋商小组应当认定其响应无效。同时，项目评审时被认定为串通响应的供应商不得参加该合同项下的采购活动。</w:t>
      </w:r>
    </w:p>
    <w:p>
      <w:pPr>
        <w:pStyle w:val="null3"/>
        <w:outlineLvl w:val="3"/>
      </w:pPr>
      <w:r>
        <w:rPr>
          <w:sz w:val="24"/>
          <w:b/>
        </w:rPr>
        <w:t>5.有下列情形之一的，属于恶意串通响应：</w:t>
      </w:r>
    </w:p>
    <w:p>
      <w:pPr>
        <w:pStyle w:val="null3"/>
        <w:ind w:firstLine="480"/>
      </w:pPr>
      <w:r>
        <w:rPr/>
        <w:t>（1）供应商直接或者间接从采购人或者采购代理机构处获得其他供应商的相关情况并修改其响应文件；</w:t>
      </w:r>
    </w:p>
    <w:p>
      <w:pPr>
        <w:pStyle w:val="null3"/>
        <w:ind w:firstLine="480"/>
      </w:pPr>
      <w:r>
        <w:rPr/>
        <w:t>（2）供应商按照采购人或者采购代理机构的授意撤换、修改响应文件；</w:t>
      </w:r>
    </w:p>
    <w:p>
      <w:pPr>
        <w:pStyle w:val="null3"/>
        <w:ind w:firstLine="480"/>
      </w:pPr>
      <w:r>
        <w:rPr/>
        <w:t>（3）供应商之间协商报价、技术方案等响应文件的实质性内容；</w:t>
      </w:r>
    </w:p>
    <w:p>
      <w:pPr>
        <w:pStyle w:val="null3"/>
        <w:ind w:firstLine="480"/>
      </w:pPr>
      <w:r>
        <w:rPr/>
        <w:t>（4）属于同一集团、协会、商会等组织成员的供应商按照该组织要求协同参加政府采购活动；</w:t>
      </w:r>
    </w:p>
    <w:p>
      <w:pPr>
        <w:pStyle w:val="null3"/>
        <w:ind w:firstLine="480"/>
      </w:pPr>
      <w:r>
        <w:rPr/>
        <w:t>（5）供应商之间事先约定由某一特定供应商成交；</w:t>
      </w:r>
    </w:p>
    <w:p>
      <w:pPr>
        <w:pStyle w:val="null3"/>
        <w:ind w:firstLine="480"/>
      </w:pPr>
      <w:r>
        <w:rPr/>
        <w:t>（6）供应商之间商定部分供应商放弃参加政府采购活动或者放弃成交；</w:t>
      </w:r>
    </w:p>
    <w:p>
      <w:pPr>
        <w:pStyle w:val="null3"/>
        <w:ind w:firstLine="480"/>
      </w:pPr>
      <w:r>
        <w:rPr/>
        <w:t>（7）供应商与采购人或者采购代理机构之间、供应商相互之间，为谋求特定供应商成交或者排斥其他供应商的其他串通行为。</w:t>
      </w:r>
    </w:p>
    <w:p>
      <w:pPr>
        <w:pStyle w:val="null3"/>
        <w:outlineLvl w:val="3"/>
      </w:pPr>
      <w:r>
        <w:rPr>
          <w:sz w:val="24"/>
          <w:b/>
        </w:rPr>
        <w:t>6.其他响应无效的情形</w:t>
      </w:r>
    </w:p>
    <w:p>
      <w:pPr>
        <w:pStyle w:val="null3"/>
        <w:ind w:firstLine="480"/>
      </w:pPr>
      <w:r>
        <w:rPr/>
        <w:t>详见资格性审查、符合性审查和磋商文件其他响应无效条款。</w:t>
      </w:r>
    </w:p>
    <w:p>
      <w:pPr>
        <w:pStyle w:val="null3"/>
        <w:outlineLvl w:val="3"/>
      </w:pPr>
      <w:r>
        <w:rPr>
          <w:sz w:val="24"/>
          <w:b/>
        </w:rPr>
        <w:t>7.终止竞争性磋商采购活动的情形</w:t>
      </w:r>
    </w:p>
    <w:p>
      <w:pPr>
        <w:pStyle w:val="null3"/>
        <w:ind w:firstLine="480"/>
      </w:pPr>
      <w:r>
        <w:rPr/>
        <w:t>出现下列情形之一的，采购人或者采购代理机构应当终止竞争性磋商采购活动，发布项目终止公告并说明原因，重新开展采购活动：</w:t>
      </w:r>
    </w:p>
    <w:p>
      <w:pPr>
        <w:pStyle w:val="null3"/>
        <w:ind w:firstLine="480"/>
      </w:pPr>
      <w:r>
        <w:rPr/>
        <w:t>（1）因情况变化，不再符合规定的竞争性磋商采购方式适用情形的；</w:t>
      </w:r>
    </w:p>
    <w:p>
      <w:pPr>
        <w:pStyle w:val="null3"/>
        <w:ind w:firstLine="480"/>
      </w:pPr>
      <w:r>
        <w:rPr/>
        <w:t>（2）出现影响采购公正的违法、违规行为的；</w:t>
      </w:r>
    </w:p>
    <w:p>
      <w:pPr>
        <w:pStyle w:val="null3"/>
        <w:ind w:firstLine="480"/>
      </w:pPr>
      <w:r>
        <w:rPr/>
        <w:t>（3）除《政府采购竞争性磋商采购方式暂行办法》第二十一条第三款，《财政部关于政府采购竞争性磋商采购方式管理暂行办法有关问题的补充通知》（财库〔2015〕124号）规定的情形外，在采购过程中符合要求的供应商或者报价未超过采购预算的供应商不足3家的；</w:t>
      </w:r>
    </w:p>
    <w:p>
      <w:pPr>
        <w:pStyle w:val="null3"/>
        <w:ind w:firstLine="480"/>
      </w:pPr>
      <w:r>
        <w:rPr/>
        <w:t>（4）法律、法规以及磋商文件规定其他情形。</w:t>
      </w:r>
    </w:p>
    <w:p>
      <w:pPr>
        <w:pStyle w:val="null3"/>
        <w:outlineLvl w:val="3"/>
      </w:pPr>
      <w:r>
        <w:rPr>
          <w:sz w:val="24"/>
          <w:b/>
        </w:rPr>
        <w:t>8.确定成交供应商</w:t>
      </w:r>
    </w:p>
    <w:p>
      <w:pPr>
        <w:pStyle w:val="null3"/>
        <w:ind w:firstLine="480"/>
      </w:pPr>
      <w:r>
        <w:rPr/>
        <w:t>磋商小组按照磋商文件确定的评审方法、步骤、标准，对响应文件进行评审。评审结束后，对供应商的评审名次进行排序，确定成交供应商或者推荐成交候选供应商。</w:t>
      </w:r>
    </w:p>
    <w:p>
      <w:pPr>
        <w:pStyle w:val="null3"/>
        <w:outlineLvl w:val="3"/>
      </w:pPr>
      <w:r>
        <w:rPr>
          <w:sz w:val="24"/>
          <w:b/>
        </w:rPr>
        <w:t>9.价格修正</w:t>
      </w:r>
    </w:p>
    <w:p>
      <w:pPr>
        <w:pStyle w:val="null3"/>
        <w:ind w:firstLine="480"/>
      </w:pPr>
      <w:r>
        <w:rPr/>
        <w:t>对报价的计算错误按以下原则修正：</w:t>
      </w:r>
    </w:p>
    <w:p>
      <w:pPr>
        <w:pStyle w:val="null3"/>
        <w:ind w:firstLine="480"/>
      </w:pPr>
      <w:r>
        <w:rPr/>
        <w:t>（1）响应文件中首轮报价表（报价表）内容与响应文件中相应内容不一致的，以首轮报价表（报价表）为准；</w:t>
      </w:r>
    </w:p>
    <w:p>
      <w:pPr>
        <w:pStyle w:val="null3"/>
        <w:ind w:firstLine="480"/>
      </w:pPr>
      <w:r>
        <w:rPr/>
        <w:t>（2）大写金额和小写金额不一致的，以大写金额为准；</w:t>
      </w:r>
    </w:p>
    <w:p>
      <w:pPr>
        <w:pStyle w:val="null3"/>
        <w:ind w:firstLine="480"/>
      </w:pPr>
      <w:r>
        <w:rPr/>
        <w:t>（3）单价金额小数点或者百分比有明显错位的，以首轮报价表的总价为准，并修改单价；</w:t>
      </w:r>
    </w:p>
    <w:p>
      <w:pPr>
        <w:pStyle w:val="null3"/>
        <w:ind w:firstLine="480"/>
      </w:pPr>
      <w:r>
        <w:rPr/>
        <w:t>（4）总价金额与按单价汇总金额不一致的，以单价金额计算结果为准。但是单价金额计算结果超过预算价的，对其按无效响应处理；</w:t>
      </w:r>
    </w:p>
    <w:p>
      <w:pPr>
        <w:pStyle w:val="null3"/>
        <w:ind w:firstLine="480"/>
      </w:pPr>
      <w:r>
        <w:rPr/>
        <w:t>（5）若投标客户端上传的电子报价数据与电子响应文件价格不一致的，以电子报价数据为准。</w:t>
      </w:r>
    </w:p>
    <w:p>
      <w:pPr>
        <w:pStyle w:val="null3"/>
        <w:ind w:firstLine="480"/>
      </w:pPr>
      <w:r>
        <w:rPr/>
        <w:t xml:space="preserve"> 注：同时出现两种以上不一致的，按照前款规定的顺序在系统上进行价格澄清。供应商澄清后的价格加盖电子印章确认后产生约束力，但不得超出响应文件的范围或者改变响应文件的实质性内容，供应商不确认的，其响应无效。</w:t>
      </w:r>
    </w:p>
    <w:p>
      <w:pPr>
        <w:pStyle w:val="null3"/>
        <w:outlineLvl w:val="2"/>
      </w:pPr>
      <w:r>
        <w:rPr>
          <w:sz w:val="28"/>
          <w:b/>
        </w:rPr>
        <w:t>二.政府采购政策落实</w:t>
      </w:r>
    </w:p>
    <w:p>
      <w:pPr>
        <w:pStyle w:val="null3"/>
        <w:outlineLvl w:val="3"/>
      </w:pPr>
      <w:r>
        <w:rPr>
          <w:sz w:val="24"/>
          <w:b/>
        </w:rPr>
        <w:t>1.节能、环保要求</w:t>
      </w:r>
    </w:p>
    <w:p>
      <w:pPr>
        <w:pStyle w:val="null3"/>
        <w:ind w:firstLine="480"/>
      </w:pPr>
      <w:r>
        <w:rPr/>
        <w:t xml:space="preserve"> 采购的产品属于品目清单范围的，将依据国家确定的认证机构出具的、处于有效期之内的节能产品、环境标志产品认证证书，对获得证书的产品实施政府优先采购或强制采购，具体按照本磋商文件相关要求执行。</w:t>
      </w:r>
    </w:p>
    <w:p>
      <w:pPr>
        <w:pStyle w:val="null3"/>
        <w:ind w:firstLine="480"/>
      </w:pPr>
      <w:r>
        <w:rPr/>
        <w:t>相关认证机构和获证产品信息以市场监管总局组织建立的节能产品、环境标志产品认证结果信息发布平台公布为准。</w:t>
      </w:r>
    </w:p>
    <w:p>
      <w:pPr>
        <w:pStyle w:val="null3"/>
        <w:outlineLvl w:val="3"/>
      </w:pPr>
      <w:r>
        <w:rPr>
          <w:sz w:val="24"/>
          <w:b/>
        </w:rPr>
        <w:t>2.对小型、微型企业、监狱企业或残疾人福利性单位给予价格扣除</w:t>
      </w:r>
    </w:p>
    <w:p>
      <w:pPr>
        <w:pStyle w:val="null3"/>
        <w:ind w:firstLine="480"/>
      </w:pPr>
      <w:r>
        <w:rPr/>
        <w:t>依照《政府采购促进中小企业发展管理办法》、《支持监狱企业发展有关问题的通知》和《财政部 民政部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pPr>
        <w:pStyle w:val="null3"/>
        <w:outlineLvl w:val="3"/>
      </w:pPr>
      <w:r>
        <w:rPr>
          <w:sz w:val="24"/>
          <w:b/>
        </w:rPr>
        <w:t>3.价格扣除相关要求</w:t>
      </w:r>
    </w:p>
    <w:p>
      <w:pPr>
        <w:pStyle w:val="null3"/>
      </w:pPr>
      <w:r>
        <w:rPr/>
        <w:t>采购包1（民众街道多宝路段和阳光大道等路段违法抓拍系统及交通信号灯后台建设项目）：</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pPr>
              <w:pStyle w:val="null3"/>
            </w:pPr>
            <w:r>
              <w:rPr/>
              <w:t>序号</w:t>
            </w:r>
          </w:p>
        </w:tc>
        <w:tc>
          <w:tcPr>
            <w:tcW w:type="dxa" w:w="2160"/>
          </w:tcPr>
          <w:p>
            <w:pPr>
              <w:pStyle w:val="null3"/>
            </w:pPr>
            <w:r>
              <w:rPr/>
              <w:t>情形</w:t>
            </w:r>
          </w:p>
        </w:tc>
        <w:tc>
          <w:tcPr>
            <w:tcW w:type="dxa" w:w="2160"/>
          </w:tcPr>
          <w:p>
            <w:pPr>
              <w:pStyle w:val="null3"/>
            </w:pPr>
            <w:r>
              <w:rPr/>
              <w:t>适用对象</w:t>
            </w:r>
          </w:p>
        </w:tc>
        <w:tc>
          <w:tcPr>
            <w:tcW w:type="dxa" w:w="1246"/>
          </w:tcPr>
          <w:p>
            <w:pPr>
              <w:pStyle w:val="null3"/>
            </w:pPr>
            <w:r>
              <w:rPr/>
              <w:t>价格扣除比例</w:t>
            </w:r>
          </w:p>
        </w:tc>
        <w:tc>
          <w:tcPr>
            <w:tcW w:type="dxa" w:w="2160"/>
          </w:tcPr>
          <w:p>
            <w:pPr>
              <w:pStyle w:val="null3"/>
            </w:pPr>
            <w:r>
              <w:rPr/>
              <w:t>计算公式</w:t>
            </w:r>
          </w:p>
        </w:tc>
      </w:tr>
      <w:tr>
        <w:tc>
          <w:tcPr>
            <w:tcW w:type="dxa" w:w="581"/>
          </w:tcPr>
          <w:p>
            <w:pPr>
              <w:pStyle w:val="null3"/>
            </w:pPr>
            <w:r>
              <w:rPr/>
              <w:t>1</w:t>
            </w:r>
          </w:p>
        </w:tc>
        <w:tc>
          <w:tcPr>
            <w:tcW w:type="dxa" w:w="2160"/>
          </w:tcPr>
          <w:p>
            <w:pPr>
              <w:pStyle w:val="null3"/>
              <w:jc w:val="left"/>
            </w:pPr>
            <w:r>
              <w:rPr/>
              <w:t>小型、微型企业，监狱企业，残疾人福利性单位</w:t>
            </w:r>
          </w:p>
        </w:tc>
        <w:tc>
          <w:tcPr>
            <w:tcW w:type="dxa" w:w="2160"/>
          </w:tcPr>
          <w:p>
            <w:pPr>
              <w:pStyle w:val="null3"/>
            </w:pPr>
            <w:r>
              <w:rPr/>
              <w:t>货物由小微企业制造</w:t>
            </w:r>
          </w:p>
        </w:tc>
        <w:tc>
          <w:tcPr>
            <w:tcW w:type="dxa" w:w="1246"/>
          </w:tcPr>
          <w:p>
            <w:pPr>
              <w:pStyle w:val="null3"/>
            </w:pPr>
            <w:r>
              <w:rPr/>
              <w:t>10%</w:t>
            </w:r>
          </w:p>
        </w:tc>
        <w:tc>
          <w:tcPr>
            <w:tcW w:type="dxa" w:w="2160"/>
          </w:tcPr>
          <w:p>
            <w:pPr>
              <w:pStyle w:val="null3"/>
              <w:jc w:val="left"/>
            </w:pPr>
            <w:r>
              <w:rPr/>
              <w:t>货物由小微企业制造，即货物由小微企业生产且使用该小微企业商号或者注册商标时，给予价格扣除C1，即：评标价=最后报价×（1-C1）;监狱企业与残疾人福利性单位视同小型、微型企业，享受同等价格扣除，当企业属性重复时，不重复价格扣除。</w:t>
            </w:r>
          </w:p>
        </w:tc>
      </w:tr>
      <w:tr>
        <w:tc>
          <w:tcPr>
            <w:tcW w:type="dxa" w:w="8307"/>
            <w:gridSpan w:val="5"/>
          </w:tcPr>
          <w:p>
            <w:pPr>
              <w:pStyle w:val="null3"/>
              <w:jc w:val="left"/>
            </w:pPr>
            <w:r>
              <w:rPr/>
              <w:t>注：（1）上述评标价仅用于计算价格分，成交金额以实际投标价为准。 （2）组成联合体的大中型企业和其他自然人、法人或者其他组织、与小型、微型企业之间不得存在投资关系。</w:t>
            </w:r>
          </w:p>
        </w:tc>
      </w:tr>
    </w:tbl>
    <w:p>
      <w:pPr>
        <w:pStyle w:val="null3"/>
      </w:pPr>
      <w:r>
        <w:br/>
      </w:r>
    </w:p>
    <w:p>
      <w:pPr>
        <w:pStyle w:val="null3"/>
        <w:ind w:firstLine="480"/>
      </w:pPr>
      <w:r>
        <w:rPr/>
        <w:t>（1）所称小型和微型企业应当符合以下条件：</w:t>
      </w:r>
    </w:p>
    <w:p>
      <w:pPr>
        <w:pStyle w:val="null3"/>
        <w:ind w:firstLine="480"/>
      </w:pPr>
      <w:r>
        <w:rPr/>
        <w:t xml:space="preserve"> 在中华人民共和国境内依法设立，依据国务院批准的中小企业划分标准确定的小型企业和微型企业，但与大企业的负责人为同一人，或者与大企业存在直接控股、管理关系的除外。符合中小企业划分标准的个体工商户，在政府采购活动中视同中小企业。提供本企业制造的货物或者提供其他小型或微型企业制造的货物。</w:t>
      </w:r>
    </w:p>
    <w:p>
      <w:pPr>
        <w:pStyle w:val="null3"/>
        <w:ind w:firstLine="480"/>
      </w:pPr>
      <w:r>
        <w:rPr/>
        <w:t>符合中小企业划分标准的个体工商户，在政府采购活动中视同中小企业。</w:t>
      </w:r>
    </w:p>
    <w:p>
      <w:pPr>
        <w:pStyle w:val="null3"/>
        <w:ind w:firstLine="480"/>
      </w:pPr>
      <w:r>
        <w:rPr/>
        <w:t>提供本企业（属于小微企业）制造的货物或者提供其他小型或微型企业制造的货物/提供本企业（属于小微企业）承接的服务。</w:t>
      </w:r>
    </w:p>
    <w:p>
      <w:pPr>
        <w:pStyle w:val="null3"/>
        <w:ind w:firstLine="480"/>
      </w:pPr>
      <w:r>
        <w:rPr/>
        <w:t xml:space="preserve"> （2）符合中小企业扶持政策的供应商应填写《中小企业声明函》；监狱企业须供应商提供由监狱管理局、戒毒管理局（含新疆生产建设兵团）出具的属于监狱企业的证明文件；残疾人福利性单位应填写《残疾人福利性单位声明函》，否则不认定价格扣除。</w:t>
      </w:r>
    </w:p>
    <w:p>
      <w:pPr>
        <w:pStyle w:val="null3"/>
        <w:ind w:firstLine="480"/>
      </w:pPr>
      <w:r>
        <w:rPr/>
        <w:t>说明：供应商应当对其出具的《中小企业声明函》真实性负责，供应商出具的《中小企业声明函》内容不实的，属于提供虚假材料谋取成交。</w:t>
      </w:r>
    </w:p>
    <w:p>
      <w:pPr>
        <w:pStyle w:val="null3"/>
        <w:ind w:firstLine="480"/>
      </w:pPr>
      <w:r>
        <w:rPr/>
        <w:t xml:space="preserve"> （3）联合体各方均为小型、微型企业的，各方均应提供《中小企业声明函》；中小微企业作为联合体一方参与政府采购活动，且联合体协议书中约定，小型、微型企业的协议合同金额占到联合体协议合同总金额30%以上的，应附中小微企业的《中小企业声明函》。</w:t>
      </w:r>
    </w:p>
    <w:p>
      <w:pPr>
        <w:pStyle w:val="null3"/>
        <w:outlineLvl w:val="2"/>
      </w:pPr>
      <w:r>
        <w:rPr>
          <w:sz w:val="28"/>
          <w:b/>
        </w:rPr>
        <w:t>三、评审程序</w:t>
      </w:r>
    </w:p>
    <w:p>
      <w:pPr>
        <w:pStyle w:val="null3"/>
        <w:outlineLvl w:val="3"/>
      </w:pPr>
      <w:r>
        <w:rPr>
          <w:sz w:val="24"/>
          <w:b/>
        </w:rPr>
        <w:t>1.资格性审查和符合性审查</w:t>
      </w:r>
    </w:p>
    <w:p>
      <w:pPr>
        <w:pStyle w:val="null3"/>
        <w:ind w:firstLine="480"/>
      </w:pPr>
      <w:r>
        <w:rPr/>
        <w:t xml:space="preserve"> 磋商小组根据《资格性审查表》（附表一）和《符合性审查表》（附表二）的内容逐条对响应文件进行评审，审查每份响应文件的相关资格证明文件是否齐全有效。审查每份响应文件是否实质上响应了磋商文件的要求，只要不满足《资格性审查表》和《符合性审查表》所列各项要求之一的，将被认定为无效响应。对响应有效性认定意见不一致的，磋商小组按少数服从多数原则表决决定。</w:t>
      </w:r>
    </w:p>
    <w:p>
      <w:pPr>
        <w:pStyle w:val="null3"/>
        <w:ind w:firstLine="480"/>
      </w:pPr>
      <w:r>
        <w:rPr/>
        <w:t>磋商小组对各磋商供应商进行资格性和符合性审查过程中，对初步被认定为初审不合格或无效响应者应实行及时告知，由磋商小组组长或采购人代表将集体意见及时告知报价当事人。</w:t>
      </w:r>
    </w:p>
    <w:p>
      <w:pPr>
        <w:pStyle w:val="null3"/>
        <w:ind w:firstLine="480"/>
      </w:pPr>
      <w:r>
        <w:rPr/>
        <w:t>表一资格性审查表：</w:t>
      </w:r>
    </w:p>
    <w:p>
      <w:pPr>
        <w:pStyle w:val="null3"/>
      </w:pPr>
      <w:r>
        <w:rPr/>
        <w:t>采购包1（民众街道多宝路段和阳光大道等路段违法抓拍系统及交通信号灯后台建设项目）：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7416"/>
            <w:gridSpan w:val="2"/>
          </w:tcPr>
          <w:p>
            <w:pPr>
              <w:pStyle w:val="null3"/>
            </w:pPr>
            <w:r>
              <w:rPr/>
              <w:t xml:space="preserve"> 资格审查内容</w:t>
            </w:r>
          </w:p>
        </w:tc>
      </w:tr>
      <w:tr>
        <w:tc>
          <w:tcPr>
            <w:tcW w:type="dxa" w:w="890"/>
          </w:tcPr>
          <w:p>
            <w:pPr>
              <w:pStyle w:val="null3"/>
            </w:pPr>
            <w:r>
              <w:rPr/>
              <w:t>1</w:t>
            </w:r>
          </w:p>
        </w:tc>
        <w:tc>
          <w:tcPr>
            <w:tcW w:type="dxa" w:w="3178"/>
          </w:tcPr>
          <w:p>
            <w:pPr>
              <w:pStyle w:val="null3"/>
            </w:pPr>
            <w:r>
              <w:rPr/>
              <w:t>具有独立承担民事责任的能力</w:t>
            </w:r>
          </w:p>
        </w:tc>
        <w:tc>
          <w:tcPr>
            <w:tcW w:type="dxa" w:w="4238"/>
          </w:tcPr>
          <w:p>
            <w:pPr>
              <w:pStyle w:val="null3"/>
            </w:pPr>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pPr>
              <w:pStyle w:val="null3"/>
            </w:pPr>
            <w:r>
              <w:rPr/>
              <w:t>2</w:t>
            </w:r>
          </w:p>
        </w:tc>
        <w:tc>
          <w:tcPr>
            <w:tcW w:type="dxa" w:w="3178"/>
          </w:tcPr>
          <w:p>
            <w:pPr>
              <w:pStyle w:val="null3"/>
            </w:pPr>
            <w:r>
              <w:rPr/>
              <w:t>有依法缴纳税收和社会保障资金的良好记录</w:t>
            </w:r>
          </w:p>
        </w:tc>
        <w:tc>
          <w:tcPr>
            <w:tcW w:type="dxa" w:w="4238"/>
          </w:tcPr>
          <w:p>
            <w:pPr>
              <w:pStyle w:val="null3"/>
            </w:pPr>
            <w:r>
              <w:rPr/>
              <w:t>供应商提供《政府采购供应商资格信用承诺函》（格式详见公告附件）或提供投标截止日前6个月内任意1个月依法缴纳税收和社会保障资金的相关材料。如依法免税或不需要缴纳社会保障资金的，提供相应证明材料。（若供应商同时提供承诺函和证明材料的，资格审查时以证明材料为准）</w:t>
            </w:r>
          </w:p>
        </w:tc>
      </w:tr>
      <w:tr>
        <w:tc>
          <w:tcPr>
            <w:tcW w:type="dxa" w:w="890"/>
          </w:tcPr>
          <w:p>
            <w:pPr>
              <w:pStyle w:val="null3"/>
            </w:pPr>
            <w:r>
              <w:rPr/>
              <w:t>3</w:t>
            </w:r>
          </w:p>
        </w:tc>
        <w:tc>
          <w:tcPr>
            <w:tcW w:type="dxa" w:w="3178"/>
          </w:tcPr>
          <w:p>
            <w:pPr>
              <w:pStyle w:val="null3"/>
            </w:pPr>
            <w:r>
              <w:rPr/>
              <w:t>具有良好的商业信誉和健全的财务会计制度</w:t>
            </w:r>
          </w:p>
        </w:tc>
        <w:tc>
          <w:tcPr>
            <w:tcW w:type="dxa" w:w="4238"/>
          </w:tcPr>
          <w:p>
            <w:pPr>
              <w:pStyle w:val="null3"/>
            </w:pPr>
            <w:r>
              <w:rPr/>
              <w:t>供应商提供《政府采购供应商资格信用承诺函》（格式详见公告附件）或提供2023年度财务状况报告或2024年以来任何一个月的财务报表或基本开户行出具的资信证明）。（若供应商同时提供承诺函和证明材料的，资格审查时以证明材料为准）</w:t>
            </w:r>
          </w:p>
        </w:tc>
      </w:tr>
      <w:tr>
        <w:tc>
          <w:tcPr>
            <w:tcW w:type="dxa" w:w="890"/>
          </w:tcPr>
          <w:p>
            <w:pPr>
              <w:pStyle w:val="null3"/>
            </w:pPr>
            <w:r>
              <w:rPr/>
              <w:t>4</w:t>
            </w:r>
          </w:p>
        </w:tc>
        <w:tc>
          <w:tcPr>
            <w:tcW w:type="dxa" w:w="3178"/>
          </w:tcPr>
          <w:p>
            <w:pPr>
              <w:pStyle w:val="null3"/>
            </w:pPr>
            <w:r>
              <w:rPr/>
              <w:t>履行合同所必需的设备和专业技术能力</w:t>
            </w:r>
          </w:p>
        </w:tc>
        <w:tc>
          <w:tcPr>
            <w:tcW w:type="dxa" w:w="4238"/>
          </w:tcPr>
          <w:p>
            <w:pPr>
              <w:pStyle w:val="null3"/>
            </w:pPr>
            <w:r>
              <w:rPr/>
              <w:t>提供承诺函（格式自拟，承诺内容包括但不限于：“我方具有履行本项目合同所必需的设备及专业技术能力。”）或提供《设备和专业技术能力情况表》（格式自拟）。</w:t>
            </w:r>
          </w:p>
        </w:tc>
      </w:tr>
      <w:tr>
        <w:tc>
          <w:tcPr>
            <w:tcW w:type="dxa" w:w="890"/>
          </w:tcPr>
          <w:p>
            <w:pPr>
              <w:pStyle w:val="null3"/>
            </w:pPr>
            <w:r>
              <w:rPr/>
              <w:t>5</w:t>
            </w:r>
          </w:p>
        </w:tc>
        <w:tc>
          <w:tcPr>
            <w:tcW w:type="dxa" w:w="3178"/>
          </w:tcPr>
          <w:p>
            <w:pPr>
              <w:pStyle w:val="null3"/>
            </w:pPr>
            <w:r>
              <w:rPr/>
              <w:t>参加采购活动前3年内，在经营活动中没有重大违法记录</w:t>
            </w:r>
          </w:p>
        </w:tc>
        <w:tc>
          <w:tcPr>
            <w:tcW w:type="dxa" w:w="4238"/>
          </w:tcPr>
          <w:p>
            <w:pPr>
              <w:pStyle w:val="null3"/>
            </w:pPr>
            <w:r>
              <w:rPr/>
              <w:t>供应商提供《政府采购供应商资格信用承诺函》（格式详见公告附件）或参照响应承诺函相关承诺格式内容。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pPr>
              <w:pStyle w:val="null3"/>
            </w:pPr>
            <w:r>
              <w:rPr/>
              <w:t>6</w:t>
            </w:r>
          </w:p>
        </w:tc>
        <w:tc>
          <w:tcPr>
            <w:tcW w:type="dxa" w:w="3178"/>
          </w:tcPr>
          <w:p>
            <w:pPr>
              <w:pStyle w:val="null3"/>
            </w:pPr>
            <w:r>
              <w:rPr/>
              <w:t>信用记录</w:t>
            </w:r>
          </w:p>
        </w:tc>
        <w:tc>
          <w:tcPr>
            <w:tcW w:type="dxa" w:w="4238"/>
          </w:tcPr>
          <w:p>
            <w:pPr>
              <w:pStyle w:val="null3"/>
            </w:pPr>
            <w:r>
              <w:rPr/>
              <w:t>采购人或采购代理机构将通过“信用中国”网站（www.creditchina.gov.cn）及中国政府采购网 （www.ccgp.gov.cn）查询供应商信用记录（查询截止时点：递交响应文件当天），将查询的信用记录提供给评审现场，并做好信用信息查询记录和证据留存，信用信息查询记录及相关证据应当与其他采购文件一并保存。对于被列入“信用中国”网站“失信被执行人或税收违法黑名单”记录名单以及处于中国政府采购网“政府采购严重违法失信行为信息记录”中的禁止参加政府采购活动期间的供应商，将拒绝其参与政府采购活动（不能通过资格性审查）。如相关失信记录已失效，供应商需提供相关证明资料。</w:t>
            </w:r>
          </w:p>
        </w:tc>
      </w:tr>
      <w:tr>
        <w:tc>
          <w:tcPr>
            <w:tcW w:type="dxa" w:w="890"/>
          </w:tcPr>
          <w:p>
            <w:pPr>
              <w:pStyle w:val="null3"/>
            </w:pPr>
            <w:r>
              <w:rPr/>
              <w:t>7</w:t>
            </w:r>
          </w:p>
        </w:tc>
        <w:tc>
          <w:tcPr>
            <w:tcW w:type="dxa" w:w="3178"/>
          </w:tcPr>
          <w:p>
            <w:pPr>
              <w:pStyle w:val="null3"/>
            </w:pPr>
            <w:r>
              <w:rPr/>
              <w:t>供应商必须符合法律、行政法规规定的其他条件</w:t>
            </w:r>
          </w:p>
        </w:tc>
        <w:tc>
          <w:tcPr>
            <w:tcW w:type="dxa" w:w="4238"/>
          </w:tcPr>
          <w:p>
            <w:pPr>
              <w:pStyle w:val="null3"/>
            </w:pPr>
            <w:r>
              <w:rPr/>
              <w:t>为采购项目提供整体设计、规范编制或者项目管理、监理、检测等服务的供应商，不得再参加该采购项目同一合同项下的其他采购活动。单位负责人为同一人或者存在直接控股、管理关系的不同供应商，不得参加同一合同项下的政府采购活动（参照响应承诺函相关承诺格式内容。）</w:t>
            </w:r>
          </w:p>
        </w:tc>
      </w:tr>
      <w:tr>
        <w:tc>
          <w:tcPr>
            <w:tcW w:type="dxa" w:w="890"/>
          </w:tcPr>
          <w:p>
            <w:pPr>
              <w:pStyle w:val="null3"/>
            </w:pPr>
            <w:r>
              <w:rPr/>
              <w:t>8</w:t>
            </w:r>
          </w:p>
        </w:tc>
        <w:tc>
          <w:tcPr>
            <w:tcW w:type="dxa" w:w="3178"/>
          </w:tcPr>
          <w:p>
            <w:pPr>
              <w:pStyle w:val="null3"/>
            </w:pPr>
            <w:r>
              <w:rPr/>
              <w:t>联合体</w:t>
            </w:r>
          </w:p>
        </w:tc>
        <w:tc>
          <w:tcPr>
            <w:tcW w:type="dxa" w:w="4238"/>
          </w:tcPr>
          <w:p>
            <w:pPr>
              <w:pStyle w:val="null3"/>
            </w:pPr>
            <w:r>
              <w:rPr/>
              <w:t>本项目不接受联合体投标。</w:t>
            </w:r>
          </w:p>
        </w:tc>
      </w:tr>
      <w:tr>
        <w:tc>
          <w:tcPr>
            <w:tcW w:type="dxa" w:w="890"/>
          </w:tcPr>
          <w:p>
            <w:pPr>
              <w:pStyle w:val="null3"/>
            </w:pPr>
            <w:r>
              <w:rPr/>
              <w:t>9</w:t>
            </w:r>
          </w:p>
        </w:tc>
        <w:tc>
          <w:tcPr>
            <w:tcW w:type="dxa" w:w="3178"/>
          </w:tcPr>
          <w:p>
            <w:pPr>
              <w:pStyle w:val="null3"/>
            </w:pPr>
            <w:r>
              <w:rPr/>
              <w:t>落实政府采购政策需满足的资格要求</w:t>
            </w:r>
          </w:p>
        </w:tc>
        <w:tc>
          <w:tcPr>
            <w:tcW w:type="dxa" w:w="4238"/>
          </w:tcPr>
          <w:p>
            <w:pPr>
              <w:pStyle w:val="null3"/>
            </w:pPr>
            <w:r>
              <w:rPr/>
              <w:t>本项目不属于专门面向中小企业采购的项目。</w:t>
            </w:r>
          </w:p>
        </w:tc>
      </w:tr>
    </w:tbl>
    <w:p>
      <w:pPr>
        <w:pStyle w:val="null3"/>
        <w:ind w:firstLine="480"/>
      </w:pPr>
      <w:r>
        <w:rPr/>
        <w:t>表二符合性审查表：</w:t>
      </w:r>
    </w:p>
    <w:p>
      <w:pPr>
        <w:pStyle w:val="null3"/>
      </w:pPr>
      <w:r>
        <w:rPr/>
        <w:t>采购包1（民众街道多宝路段和阳光大道等路段违法抓拍系统及交通信号灯后台建设项目）：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3178"/>
          </w:tcPr>
          <w:p>
            <w:pPr>
              <w:pStyle w:val="null3"/>
            </w:pPr>
            <w:r>
              <w:rPr/>
              <w:t xml:space="preserve"> 评审点要求概况</w:t>
            </w:r>
          </w:p>
        </w:tc>
        <w:tc>
          <w:tcPr>
            <w:tcW w:type="dxa" w:w="4238"/>
          </w:tcPr>
          <w:p>
            <w:pPr>
              <w:pStyle w:val="null3"/>
            </w:pPr>
            <w:r>
              <w:rPr/>
              <w:t xml:space="preserve"> 评审点具体描述</w:t>
            </w:r>
          </w:p>
        </w:tc>
      </w:tr>
      <w:tr>
        <w:tc>
          <w:tcPr>
            <w:tcW w:type="dxa" w:w="890"/>
          </w:tcPr>
          <w:p>
            <w:pPr>
              <w:pStyle w:val="null3"/>
            </w:pPr>
            <w:r>
              <w:rPr/>
              <w:t>1</w:t>
            </w:r>
          </w:p>
        </w:tc>
        <w:tc>
          <w:tcPr>
            <w:tcW w:type="dxa" w:w="3178"/>
          </w:tcPr>
          <w:p>
            <w:pPr>
              <w:pStyle w:val="null3"/>
            </w:pPr>
            <w:r>
              <w:rPr/>
              <w:t>响应有效期</w:t>
            </w:r>
          </w:p>
        </w:tc>
        <w:tc>
          <w:tcPr>
            <w:tcW w:type="dxa" w:w="4238"/>
          </w:tcPr>
          <w:p>
            <w:pPr>
              <w:pStyle w:val="null3"/>
            </w:pPr>
            <w:r>
              <w:rPr/>
              <w:t>提供《响应承诺函》，响应有效期符合磋商文件要求</w:t>
            </w:r>
          </w:p>
        </w:tc>
      </w:tr>
      <w:tr>
        <w:tc>
          <w:tcPr>
            <w:tcW w:type="dxa" w:w="890"/>
          </w:tcPr>
          <w:p>
            <w:pPr>
              <w:pStyle w:val="null3"/>
            </w:pPr>
            <w:r>
              <w:rPr/>
              <w:t>2</w:t>
            </w:r>
          </w:p>
        </w:tc>
        <w:tc>
          <w:tcPr>
            <w:tcW w:type="dxa" w:w="3178"/>
          </w:tcPr>
          <w:p>
            <w:pPr>
              <w:pStyle w:val="null3"/>
            </w:pPr>
            <w:r>
              <w:rPr/>
              <w:t>签署盖章</w:t>
            </w:r>
          </w:p>
        </w:tc>
        <w:tc>
          <w:tcPr>
            <w:tcW w:type="dxa" w:w="4238"/>
          </w:tcPr>
          <w:p>
            <w:pPr>
              <w:pStyle w:val="null3"/>
            </w:pPr>
            <w:r>
              <w:rPr/>
              <w:t>响应文件按照磋商文件规定签署、盖章</w:t>
            </w:r>
          </w:p>
        </w:tc>
      </w:tr>
      <w:tr>
        <w:tc>
          <w:tcPr>
            <w:tcW w:type="dxa" w:w="890"/>
          </w:tcPr>
          <w:p>
            <w:pPr>
              <w:pStyle w:val="null3"/>
            </w:pPr>
            <w:r>
              <w:rPr/>
              <w:t>3</w:t>
            </w:r>
          </w:p>
        </w:tc>
        <w:tc>
          <w:tcPr>
            <w:tcW w:type="dxa" w:w="3178"/>
          </w:tcPr>
          <w:p>
            <w:pPr>
              <w:pStyle w:val="null3"/>
            </w:pPr>
            <w:r>
              <w:rPr/>
              <w:t>法定代表人及授权委托书</w:t>
            </w:r>
          </w:p>
        </w:tc>
        <w:tc>
          <w:tcPr>
            <w:tcW w:type="dxa" w:w="4238"/>
          </w:tcPr>
          <w:p>
            <w:pPr>
              <w:pStyle w:val="null3"/>
            </w:pPr>
            <w:r>
              <w:rPr/>
              <w:t>响应文件提供有效的法定代表人及法定代表人授权委托书</w:t>
            </w:r>
          </w:p>
        </w:tc>
      </w:tr>
      <w:tr>
        <w:tc>
          <w:tcPr>
            <w:tcW w:type="dxa" w:w="890"/>
          </w:tcPr>
          <w:p>
            <w:pPr>
              <w:pStyle w:val="null3"/>
            </w:pPr>
            <w:r>
              <w:rPr/>
              <w:t>4</w:t>
            </w:r>
          </w:p>
        </w:tc>
        <w:tc>
          <w:tcPr>
            <w:tcW w:type="dxa" w:w="3178"/>
          </w:tcPr>
          <w:p>
            <w:pPr>
              <w:pStyle w:val="null3"/>
            </w:pPr>
            <w:r>
              <w:rPr/>
              <w:t>投标报价</w:t>
            </w:r>
          </w:p>
        </w:tc>
        <w:tc>
          <w:tcPr>
            <w:tcW w:type="dxa" w:w="4238"/>
          </w:tcPr>
          <w:p>
            <w:pPr>
              <w:pStyle w:val="null3"/>
            </w:pPr>
            <w:r>
              <w:rPr/>
              <w:t>投标报价是固定价且是唯一的，投标报价不超过项目最高限价金额</w:t>
            </w:r>
          </w:p>
        </w:tc>
      </w:tr>
      <w:tr>
        <w:tc>
          <w:tcPr>
            <w:tcW w:type="dxa" w:w="890"/>
          </w:tcPr>
          <w:p>
            <w:pPr>
              <w:pStyle w:val="null3"/>
            </w:pPr>
            <w:r>
              <w:rPr/>
              <w:t>5</w:t>
            </w:r>
          </w:p>
        </w:tc>
        <w:tc>
          <w:tcPr>
            <w:tcW w:type="dxa" w:w="3178"/>
          </w:tcPr>
          <w:p>
            <w:pPr>
              <w:pStyle w:val="null3"/>
            </w:pPr>
            <w:r>
              <w:rPr/>
              <w:t>投标报价无重大漏项或重大不合理</w:t>
            </w:r>
          </w:p>
        </w:tc>
        <w:tc>
          <w:tcPr>
            <w:tcW w:type="dxa" w:w="4238"/>
          </w:tcPr>
          <w:p>
            <w:pPr>
              <w:pStyle w:val="null3"/>
            </w:pPr>
            <w:r>
              <w:rPr/>
              <w:t>投标报价无重大漏项或重大不合理</w:t>
            </w:r>
          </w:p>
        </w:tc>
      </w:tr>
      <w:tr>
        <w:tc>
          <w:tcPr>
            <w:tcW w:type="dxa" w:w="890"/>
          </w:tcPr>
          <w:p>
            <w:pPr>
              <w:pStyle w:val="null3"/>
            </w:pPr>
            <w:r>
              <w:rPr/>
              <w:t>6</w:t>
            </w:r>
          </w:p>
        </w:tc>
        <w:tc>
          <w:tcPr>
            <w:tcW w:type="dxa" w:w="3178"/>
          </w:tcPr>
          <w:p>
            <w:pPr>
              <w:pStyle w:val="null3"/>
            </w:pPr>
            <w:r>
              <w:rPr/>
              <w:t>无磋商文件或法律、法规、规章规定属于无效投标的其他情形</w:t>
            </w:r>
          </w:p>
        </w:tc>
        <w:tc>
          <w:tcPr>
            <w:tcW w:type="dxa" w:w="4238"/>
          </w:tcPr>
          <w:p>
            <w:pPr>
              <w:pStyle w:val="null3"/>
            </w:pPr>
            <w:r>
              <w:rPr/>
              <w:t>无磋商文件或法律、法规、规章规定属于无效投标的其他情形</w:t>
            </w:r>
          </w:p>
        </w:tc>
      </w:tr>
    </w:tbl>
    <w:p>
      <w:pPr>
        <w:pStyle w:val="null3"/>
        <w:outlineLvl w:val="3"/>
      </w:pPr>
      <w:r>
        <w:rPr>
          <w:sz w:val="24"/>
          <w:b/>
        </w:rPr>
        <w:t>2.响应文件澄清</w:t>
      </w:r>
    </w:p>
    <w:p>
      <w:pPr>
        <w:pStyle w:val="null3"/>
        <w:ind w:firstLine="480"/>
      </w:pPr>
      <w:r>
        <w:rPr/>
        <w:t xml:space="preserve"> 2.1对于响应文件中含义不明确、同类问题表述不一致或者有明显文字和计算错误的内容，磋商小组应当在评审过程中发起在线澄清，要求供应商针对价格或内容做出必要的澄清、说明或补正。代理机构可根据开启环节记录的</w:t>
      </w:r>
      <w:r>
        <w:rPr>
          <w:b/>
        </w:rPr>
        <w:t>授权代表人联系方式</w:t>
      </w:r>
      <w:r>
        <w:rPr/>
        <w:t>发送短信提醒或电话告知。</w:t>
      </w:r>
    </w:p>
    <w:p>
      <w:pPr>
        <w:pStyle w:val="null3"/>
        <w:ind w:firstLine="480"/>
      </w:pPr>
      <w:r>
        <w:rPr/>
        <w:t>供应商需登录广东政府采购智慧云平台项目采购系统的等候大厅，在规定时间内完成澄清（响应），并加盖电子印章。</w:t>
      </w:r>
    </w:p>
    <w:p>
      <w:pPr>
        <w:pStyle w:val="null3"/>
        <w:ind w:firstLine="480"/>
      </w:pPr>
      <w:r>
        <w:rPr/>
        <w:t>若因供应商联系方式错误未接收短信、未接听电话或超时未进行澄清（响应）造成的不利后果由供应商自行承担。供应商的澄清、说明或者补正不得超出响应文件的范围或者改变响应文件的实质性内容。</w:t>
      </w:r>
    </w:p>
    <w:p>
      <w:pPr>
        <w:pStyle w:val="null3"/>
        <w:ind w:firstLine="480"/>
      </w:pPr>
      <w:r>
        <w:rPr/>
        <w:t>2.2磋商小组不接受供应商主动提出的澄清、说明或补正。</w:t>
      </w:r>
    </w:p>
    <w:p>
      <w:pPr>
        <w:pStyle w:val="null3"/>
        <w:ind w:firstLine="480"/>
      </w:pPr>
      <w:r>
        <w:rPr/>
        <w:t>2.3磋商小组对供应商提交的澄清、说明或补正有疑问的，可以要求供应商进一步澄清、说明或补正。</w:t>
      </w:r>
    </w:p>
    <w:p>
      <w:pPr>
        <w:pStyle w:val="null3"/>
        <w:outlineLvl w:val="3"/>
      </w:pPr>
      <w:r>
        <w:rPr>
          <w:sz w:val="24"/>
          <w:b/>
        </w:rPr>
        <w:t>3.磋商</w:t>
      </w:r>
    </w:p>
    <w:p>
      <w:pPr>
        <w:pStyle w:val="null3"/>
        <w:ind w:firstLine="480"/>
      </w:pPr>
      <w:r>
        <w:rPr/>
        <w:t>3.1磋商小组所有成员应当集中与单一供应商分别进行磋商，并给予所有参加磋商的供应商平等的磋商机会。</w:t>
      </w:r>
    </w:p>
    <w:p>
      <w:pPr>
        <w:pStyle w:val="null3"/>
        <w:ind w:firstLine="480"/>
      </w:pPr>
      <w:r>
        <w:rPr/>
        <w:t>3.2在磋商过程中，磋商小组可以根据磋商文件和磋商情况实质性变动采购需求中的技术、服务要求以及合同草案条款，但不得变动磋商文件中的其他内容。实质性变动的内容，须经采购人代表确认。</w:t>
      </w:r>
    </w:p>
    <w:p>
      <w:pPr>
        <w:pStyle w:val="null3"/>
        <w:ind w:firstLine="480"/>
      </w:pPr>
      <w:r>
        <w:rPr/>
        <w:t>3.3对磋商文件作出的实质性变动是磋商文件的有效组成部分，磋商小组应当及时、同时通知所有参加磋商的供应商。</w:t>
      </w:r>
    </w:p>
    <w:p>
      <w:pPr>
        <w:pStyle w:val="null3"/>
        <w:ind w:firstLine="480"/>
      </w:pPr>
      <w:r>
        <w:rPr/>
        <w:t xml:space="preserve"> 3.4供应商应当按照磋商文件的变动情况和磋商小组的要求进行最终报价或重新提交响应文件，并由其法定代表人或授权代表签字或者加盖公章。由授权代表签字的，应当附法定代表人授权书。供应商为自然人的，应当由本人签字并附身份证明。</w:t>
      </w:r>
    </w:p>
    <w:p>
      <w:pPr>
        <w:pStyle w:val="null3"/>
        <w:outlineLvl w:val="3"/>
      </w:pPr>
      <w:r>
        <w:rPr>
          <w:sz w:val="24"/>
          <w:b/>
        </w:rPr>
        <w:t>4.最后报价</w:t>
      </w:r>
    </w:p>
    <w:p>
      <w:pPr>
        <w:pStyle w:val="null3"/>
        <w:ind w:firstLine="480"/>
      </w:pPr>
      <w:r>
        <w:rPr/>
        <w:t>4.1磋商结束后，磋商小组应当要求所有实质性响应的供应商在规定时间内提交最后报价。最后报价是供应商响应文件的有效组成部分。</w:t>
      </w:r>
    </w:p>
    <w:p>
      <w:pPr>
        <w:pStyle w:val="null3"/>
        <w:ind w:firstLine="480"/>
      </w:pPr>
      <w:r>
        <w:rPr/>
        <w:t>4.2已提交响应文件的供应商，在提交最后报价之前，可以根据磋商情况退出磋商。</w:t>
      </w:r>
    </w:p>
    <w:p>
      <w:pPr>
        <w:pStyle w:val="null3"/>
        <w:ind w:firstLine="480"/>
      </w:pPr>
      <w:r>
        <w:rPr/>
        <w:t>4.3除法规规定的特殊性情形外，提交最后报价的供应商不得少于3家。</w:t>
      </w:r>
    </w:p>
    <w:p>
      <w:pPr>
        <w:pStyle w:val="null3"/>
        <w:outlineLvl w:val="3"/>
      </w:pPr>
      <w:r>
        <w:rPr>
          <w:sz w:val="24"/>
          <w:b/>
        </w:rPr>
        <w:t>5.详细评审</w:t>
      </w:r>
    </w:p>
    <w:p>
      <w:pPr>
        <w:pStyle w:val="null3"/>
      </w:pPr>
      <w:r>
        <w:rPr/>
        <w:t>采购包1(民众街道多宝路段和阳光大道等路段违法抓拍系统及交通信号灯后台建设项目):</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pStyle w:val="null3"/>
              <w:jc w:val="center"/>
            </w:pPr>
            <w:r>
              <w:rPr/>
              <w:t>评审因素</w:t>
            </w:r>
          </w:p>
        </w:tc>
        <w:tc>
          <w:tcPr>
            <w:tcW w:type="dxa" w:w="7383"/>
            <w:gridSpan w:val="2"/>
          </w:tcPr>
          <w:p>
            <w:pPr>
              <w:pStyle w:val="null3"/>
              <w:jc w:val="center"/>
            </w:pPr>
            <w:r>
              <w:rPr/>
              <w:t>评审标准</w:t>
            </w:r>
          </w:p>
        </w:tc>
      </w:tr>
      <w:tr>
        <w:tc>
          <w:tcPr>
            <w:tcW w:type="dxa" w:w="922"/>
            <w:gridSpan w:val="2"/>
          </w:tcPr>
          <w:p>
            <w:pPr>
              <w:pStyle w:val="null3"/>
              <w:jc w:val="center"/>
            </w:pPr>
            <w:r>
              <w:rPr/>
              <w:t>分值构成</w:t>
            </w:r>
          </w:p>
        </w:tc>
        <w:tc>
          <w:tcPr>
            <w:tcW w:type="dxa" w:w="7383"/>
            <w:gridSpan w:val="2"/>
          </w:tcPr>
          <w:p>
            <w:pPr>
              <w:pStyle w:val="null3"/>
            </w:pPr>
            <w:r>
              <w:rPr/>
              <w:t>商务部分20.0分</w:t>
            </w:r>
          </w:p>
          <w:p>
            <w:pPr>
              <w:pStyle w:val="null3"/>
            </w:pPr>
            <w:r>
              <w:rPr/>
              <w:t>技术部分50.0分</w:t>
            </w:r>
          </w:p>
          <w:p>
            <w:pPr>
              <w:pStyle w:val="null3"/>
            </w:pPr>
            <w:r>
              <w:rPr/>
              <w:t>报价得分30.0分</w:t>
            </w:r>
          </w:p>
        </w:tc>
      </w:tr>
      <w:tr>
        <w:tc>
          <w:tcPr>
            <w:tcW w:type="dxa" w:w="922"/>
            <w:gridSpan w:val="2"/>
            <w:vMerge w:val="restart"/>
          </w:tcPr>
          <w:p>
            <w:pPr>
              <w:pStyle w:val="null3"/>
              <w:jc w:val="center"/>
            </w:pPr>
            <w:r>
              <w:rPr/>
              <w:t>技术部分</w:t>
            </w:r>
          </w:p>
        </w:tc>
        <w:tc>
          <w:tcPr>
            <w:tcW w:type="dxa" w:w="2307"/>
          </w:tcPr>
          <w:p>
            <w:pPr>
              <w:pStyle w:val="null3"/>
              <w:jc w:val="left"/>
            </w:pPr>
            <w:r>
              <w:rPr/>
              <w:t>对项目的总体理解 (5.0分)</w:t>
            </w:r>
            <w:r>
              <w:rPr/>
              <w:t>，（等次分值选择：</w:t>
            </w:r>
            <w:r>
              <w:rPr/>
              <w:t>0.0;</w:t>
            </w:r>
            <w:r>
              <w:rPr/>
              <w:t>1.0;</w:t>
            </w:r>
            <w:r>
              <w:rPr/>
              <w:t>3.0;</w:t>
            </w:r>
            <w:r>
              <w:rPr/>
              <w:t>4.0;</w:t>
            </w:r>
            <w:r>
              <w:rPr/>
              <w:t>5.0;</w:t>
            </w:r>
            <w:r>
              <w:rPr/>
              <w:t>）</w:t>
            </w:r>
          </w:p>
        </w:tc>
        <w:tc>
          <w:tcPr>
            <w:tcW w:type="dxa" w:w="5076"/>
          </w:tcPr>
          <w:p>
            <w:pPr>
              <w:pStyle w:val="null3"/>
              <w:jc w:val="left"/>
            </w:pPr>
            <w:r>
              <w:rPr/>
              <w:t>对本项目用户需求条款、项目重点和难点的了解程度，按响应文件整体技术方案描述及说明进行评分： 优：整体技术方案完整，满足采购文件服务要求，对用户现状有很深的了解，对用户的需求有切合实际分析，得5分； 良：整体技术方案较完整，基本满足采购文件服务要求，对用户现状有一定的了解，对用户的需求进行了分析，得4分； 中：整体技术方案较完整，基本满足采购文件服务要求，但未对用户现状和用户的需求进行分析，得3分； 差：整体技术方案不完整，与采购文件服务要求有偏差。得1分。 不提供不得分。</w:t>
            </w:r>
          </w:p>
        </w:tc>
      </w:tr>
      <w:tr>
        <w:tc>
          <w:tcPr>
            <w:tcW w:type="dxa" w:w="922"/>
            <w:gridSpan w:val="2"/>
            <w:vMerge/>
          </w:tcPr>
          <w:p/>
        </w:tc>
        <w:tc>
          <w:tcPr>
            <w:tcW w:type="dxa" w:w="2307"/>
          </w:tcPr>
          <w:p>
            <w:pPr>
              <w:pStyle w:val="null3"/>
              <w:jc w:val="left"/>
            </w:pPr>
            <w:r>
              <w:rPr/>
              <w:t>重要技术参数响应程度 (25.0分)</w:t>
            </w:r>
          </w:p>
        </w:tc>
        <w:tc>
          <w:tcPr>
            <w:tcW w:type="dxa" w:w="5076"/>
          </w:tcPr>
          <w:p>
            <w:pPr>
              <w:pStyle w:val="null3"/>
              <w:jc w:val="left"/>
            </w:pPr>
            <w:r>
              <w:rPr/>
              <w:t>针对采购需求成交“▲”的技术要求，每条不响应扣1分，本项扣至0分为止。 注：响应文件中以“技术和服务要求响应表”及采购需求要求提供检测报告复印件作为评审依据，检验检测报告须体现该项技术指标和相应的检验检测结果，复印件须加盖供应商公章并加盖注明采购项目名称的水印，否则无效。</w:t>
            </w:r>
          </w:p>
        </w:tc>
      </w:tr>
      <w:tr>
        <w:tc>
          <w:tcPr>
            <w:tcW w:type="dxa" w:w="922"/>
            <w:gridSpan w:val="2"/>
            <w:vMerge/>
          </w:tcPr>
          <w:p/>
        </w:tc>
        <w:tc>
          <w:tcPr>
            <w:tcW w:type="dxa" w:w="2307"/>
          </w:tcPr>
          <w:p>
            <w:pPr>
              <w:pStyle w:val="null3"/>
              <w:jc w:val="left"/>
            </w:pPr>
            <w:r>
              <w:rPr/>
              <w:t>项目整体技术方案 (10.0分)</w:t>
            </w:r>
            <w:r>
              <w:rPr/>
              <w:t>，（等次分值选择：</w:t>
            </w:r>
            <w:r>
              <w:rPr/>
              <w:t>0.0;</w:t>
            </w:r>
            <w:r>
              <w:rPr/>
              <w:t>6.0;</w:t>
            </w:r>
            <w:r>
              <w:rPr/>
              <w:t>8.0;</w:t>
            </w:r>
            <w:r>
              <w:rPr/>
              <w:t>9.0;</w:t>
            </w:r>
            <w:r>
              <w:rPr/>
              <w:t>10.0;</w:t>
            </w:r>
            <w:r>
              <w:rPr/>
              <w:t>）</w:t>
            </w:r>
          </w:p>
        </w:tc>
        <w:tc>
          <w:tcPr>
            <w:tcW w:type="dxa" w:w="5076"/>
          </w:tcPr>
          <w:p>
            <w:pPr>
              <w:pStyle w:val="null3"/>
              <w:jc w:val="left"/>
            </w:pPr>
            <w:r>
              <w:rPr/>
              <w:t>供应商针对项目总体设计方案阐述中的需求分析、架构及部署、方案特点或方案亮点等是否满足本采购文件对系统整体功能、技术要求等方面和整体规划契合需求匹配度的情况。根据供应商提供的技术方案进行评审： 优：技术方案非常合理、全面完整、可行性高，完全满足项目需求，得10分； 良：技术方案较合理，可行性较高，较能满足项目需求，得9分； 中：技术方案一般，可行性一般，较难满足项目需求，得8分； 差；技术方案一般且有欠缺，难满足项目需求，得6分。 不提供不得分。</w:t>
            </w:r>
          </w:p>
        </w:tc>
      </w:tr>
      <w:tr>
        <w:tc>
          <w:tcPr>
            <w:tcW w:type="dxa" w:w="922"/>
            <w:gridSpan w:val="2"/>
            <w:vMerge/>
          </w:tcPr>
          <w:p/>
        </w:tc>
        <w:tc>
          <w:tcPr>
            <w:tcW w:type="dxa" w:w="2307"/>
          </w:tcPr>
          <w:p>
            <w:pPr>
              <w:pStyle w:val="null3"/>
              <w:jc w:val="left"/>
            </w:pPr>
            <w:r>
              <w:rPr/>
              <w:t>安装组织计划方案 (5.0分)</w:t>
            </w:r>
            <w:r>
              <w:rPr/>
              <w:t>，（等次分值选择：</w:t>
            </w:r>
            <w:r>
              <w:rPr/>
              <w:t>0.0;</w:t>
            </w:r>
            <w:r>
              <w:rPr/>
              <w:t>1.0;</w:t>
            </w:r>
            <w:r>
              <w:rPr/>
              <w:t>3.0;</w:t>
            </w:r>
            <w:r>
              <w:rPr/>
              <w:t>4.0;</w:t>
            </w:r>
            <w:r>
              <w:rPr/>
              <w:t>5.0;</w:t>
            </w:r>
            <w:r>
              <w:rPr/>
              <w:t>）</w:t>
            </w:r>
          </w:p>
        </w:tc>
        <w:tc>
          <w:tcPr>
            <w:tcW w:type="dxa" w:w="5076"/>
          </w:tcPr>
          <w:p>
            <w:pPr>
              <w:pStyle w:val="null3"/>
              <w:jc w:val="left"/>
            </w:pPr>
            <w:r>
              <w:rPr/>
              <w:t>根据供应商对本项目提供安装组织计划方案进行评审： 优：项目安装组织计划方案全面详细、完善，架构完整具体，完全满足并优于采购需求，得5分； 良：项目安装组织计划方案详细、具体，较能满足采购需求，得4分； 中：项目安装组织计划方案响应一般、较具体，较难满足采购需求，得3分。 差：项目安装组织计划方案响应一般、不具体，难满足项目安装组织计划方案详细、具体，难满足采购需求，得1分。 不提供不得分。</w:t>
            </w:r>
          </w:p>
        </w:tc>
      </w:tr>
      <w:tr>
        <w:tc>
          <w:tcPr>
            <w:tcW w:type="dxa" w:w="922"/>
            <w:gridSpan w:val="2"/>
            <w:vMerge/>
          </w:tcPr>
          <w:p/>
        </w:tc>
        <w:tc>
          <w:tcPr>
            <w:tcW w:type="dxa" w:w="2307"/>
          </w:tcPr>
          <w:p>
            <w:pPr>
              <w:pStyle w:val="null3"/>
              <w:jc w:val="left"/>
            </w:pPr>
            <w:r>
              <w:rPr/>
              <w:t>运维服务及服务便捷性 (5.0分)</w:t>
            </w:r>
            <w:r>
              <w:rPr/>
              <w:t>，（等次分值选择：</w:t>
            </w:r>
            <w:r>
              <w:rPr/>
              <w:t>0.0;</w:t>
            </w:r>
            <w:r>
              <w:rPr/>
              <w:t>1.0;</w:t>
            </w:r>
            <w:r>
              <w:rPr/>
              <w:t>3.0;</w:t>
            </w:r>
            <w:r>
              <w:rPr/>
              <w:t>4.0;</w:t>
            </w:r>
            <w:r>
              <w:rPr/>
              <w:t>5.0;</w:t>
            </w:r>
            <w:r>
              <w:rPr/>
              <w:t>）</w:t>
            </w:r>
          </w:p>
        </w:tc>
        <w:tc>
          <w:tcPr>
            <w:tcW w:type="dxa" w:w="5076"/>
          </w:tcPr>
          <w:p>
            <w:pPr>
              <w:pStyle w:val="null3"/>
              <w:jc w:val="left"/>
            </w:pPr>
            <w:r>
              <w:rPr/>
              <w:t>根据供应商的运维服务方案进行评审： 优：供应商提供的售后服务方案及运维服务方案符合本项目服务内容，售后服务团队、资源配置科学可行，运维服务内容十分完善，有有效的保证措施及技术支持，能满足采购需求，得5分； 良：供应商提供的售后服务方案及运维服务方案较符合本项目服务内容，售后服务团队、资源配置较科学可行，运维服务内容较完善，有较有效的保证措施及技术支持，能满足采购需求，得4分； 中：供应商提供的售后服务方案及运维服务方案基本符合本项目服务内容，售后服务团队、资源配置基本可行，运维服务内容基本完善，有基本的保证措施及技术支持，基本能满足采购需求，得3分； 差：供应商提供的售后服务方案及运维服务方案不太符合本项目服务内容，售后服务团队、资源配置一般，运维服务内容不太满足项目要求，没有保证措施及技术支持，不太能满足采购需求，得1分； 不提供不得分。</w:t>
            </w:r>
          </w:p>
        </w:tc>
      </w:tr>
      <w:tr>
        <w:tc>
          <w:tcPr>
            <w:tcW w:type="dxa" w:w="922"/>
            <w:gridSpan w:val="2"/>
            <w:vMerge w:val="restart"/>
          </w:tcPr>
          <w:p>
            <w:pPr>
              <w:pStyle w:val="null3"/>
              <w:jc w:val="center"/>
            </w:pPr>
            <w:r>
              <w:rPr/>
              <w:t>商务部分</w:t>
            </w:r>
          </w:p>
        </w:tc>
        <w:tc>
          <w:tcPr>
            <w:tcW w:type="dxa" w:w="2307"/>
          </w:tcPr>
          <w:p>
            <w:pPr>
              <w:pStyle w:val="null3"/>
              <w:jc w:val="left"/>
            </w:pPr>
            <w:r>
              <w:rPr/>
              <w:t>企业认证 (5.0分)</w:t>
            </w:r>
          </w:p>
        </w:tc>
        <w:tc>
          <w:tcPr>
            <w:tcW w:type="dxa" w:w="5076"/>
          </w:tcPr>
          <w:p>
            <w:pPr>
              <w:pStyle w:val="null3"/>
              <w:jc w:val="left"/>
            </w:pPr>
            <w:r>
              <w:rPr/>
              <w:t>供应商具有有效期内的以下证书，每提供1项得1分，最高得5分。 1.质量管理体系认证证书；2.环境管理体系认证证书；3.职业健康安全管理体系认证证书；4.信息技术服务管理体系认证证书；5.信息安全管理体系认证证书。 注：需提供认证证书复印件及证书通过国家认监委官方网站（http://www.cnca.gov.cn/)查询的认证结果截图并加盖供应商公章 , 查询截图中证书编号及获证组织名称须与所提供的认证证书一致，未按要求提供、已失效、撤销或信息不一致，均不得分。</w:t>
            </w:r>
          </w:p>
        </w:tc>
      </w:tr>
      <w:tr>
        <w:tc>
          <w:tcPr>
            <w:tcW w:type="dxa" w:w="922"/>
            <w:gridSpan w:val="2"/>
            <w:vMerge/>
          </w:tcPr>
          <w:p/>
        </w:tc>
        <w:tc>
          <w:tcPr>
            <w:tcW w:type="dxa" w:w="2307"/>
          </w:tcPr>
          <w:p>
            <w:pPr>
              <w:pStyle w:val="null3"/>
              <w:jc w:val="left"/>
            </w:pPr>
            <w:r>
              <w:rPr/>
              <w:t>项目负责人 (4.0分)</w:t>
            </w:r>
          </w:p>
        </w:tc>
        <w:tc>
          <w:tcPr>
            <w:tcW w:type="dxa" w:w="5076"/>
          </w:tcPr>
          <w:p>
            <w:pPr>
              <w:pStyle w:val="null3"/>
              <w:jc w:val="left"/>
            </w:pPr>
            <w:r>
              <w:rPr/>
              <w:t>供应商拟投入本项目的项目负责人（限1人）具备以下证书：信息系统项目管理师、网络规划设计师、信息安全工程师、网络工程师，每提供一个证书得1分，满分得4分。 注： 1.响应文件中提供有效的证书复印件并加盖公章。 2.响应文件中提供响应供应商为其缴纳的近6个月内任意1个月的社保证明复印件（代缴个税税单或参加社会保险的《投保单》或《社会保险参保人员证明》等证明均可，并加盖公章）。 3.如果供应商成立时间或该人员入职不足1个月，则提供人员入职证明及入职时间至今的社保证明。如果供应商上述人员为其他用工形式，则需提供该人员用工关系的证明资料且人员用工关系证明中须列明该人员的用工期限，用工期限应涵盖本项目服务时间。 4.若供应商未能提供该人员社保的，可以在响应文件中提供相关承诺（承诺书须加盖公章，格式自行编制，承诺书内容包括但不限于以下内容：若我单位成交，合同签订时保证按响应文件中所配备投入本项目的人员全部到位并提供所有人员的社保证明或劳动合同或劳务合同等多种用工形式证明，否则视为我单位放弃成交资格），视为满足社保评审要求。 5.不提供或未按要求提供不得分。</w:t>
            </w:r>
          </w:p>
        </w:tc>
      </w:tr>
      <w:tr>
        <w:tc>
          <w:tcPr>
            <w:tcW w:type="dxa" w:w="922"/>
            <w:gridSpan w:val="2"/>
            <w:vMerge/>
          </w:tcPr>
          <w:p/>
        </w:tc>
        <w:tc>
          <w:tcPr>
            <w:tcW w:type="dxa" w:w="2307"/>
          </w:tcPr>
          <w:p>
            <w:pPr>
              <w:pStyle w:val="null3"/>
              <w:jc w:val="left"/>
            </w:pPr>
            <w:r>
              <w:rPr/>
              <w:t>项目团队人员 (6.0分)</w:t>
            </w:r>
          </w:p>
        </w:tc>
        <w:tc>
          <w:tcPr>
            <w:tcW w:type="dxa" w:w="5076"/>
          </w:tcPr>
          <w:p>
            <w:pPr>
              <w:pStyle w:val="null3"/>
              <w:jc w:val="left"/>
            </w:pPr>
            <w:r>
              <w:rPr/>
              <w:t>拟投入本项目的团队人员（项目负责人除外）具有中级或以上计算机技术与软件专业技术资格证书的，每提供1人得1.5分，最多得6分。 1.响应文件中提供有效的证书复印件并加盖公章。 2.同一个人只计算1个证书，不累计得分。 3.响应文件中提供响应供应商为其缴纳的近6个月内任意1个月社保证明复印件（代缴个税税单或参加社会保险的《投保单》或《社会保险参保人员证明》等证明均可，并加盖公章）。 4.如果供应商成立时间或该人员入职不足1个月，则提供人员入职证明及入职时间至今的社保证明。如果供应商上述人员为其他用工形式，则需提供该人员用工关系的证明资料且人员用工关系证明中须列明该人员的用工期限，用工期限应涵盖本项目服务时间。 5.若供应商未能提供该人员社保的，可以在响应文件中提供相关承诺（承诺书须加盖公章，格式自行编制，承诺书内容包括但不限于以下内容：若我单位成交，合同签订时保证按响应文件中所配备投入本项目的人员全部到位并提供所有人员的社保证明或劳动合同或劳务合同等多种用工形式证明，否则视为我单位放弃成交资格），视为满足社保评审要求。 6.不提供或未按要求提供不得分。</w:t>
            </w:r>
          </w:p>
        </w:tc>
      </w:tr>
      <w:tr>
        <w:tc>
          <w:tcPr>
            <w:tcW w:type="dxa" w:w="922"/>
            <w:gridSpan w:val="2"/>
            <w:vMerge/>
          </w:tcPr>
          <w:p/>
        </w:tc>
        <w:tc>
          <w:tcPr>
            <w:tcW w:type="dxa" w:w="2307"/>
          </w:tcPr>
          <w:p>
            <w:pPr>
              <w:pStyle w:val="null3"/>
              <w:jc w:val="left"/>
            </w:pPr>
            <w:r>
              <w:rPr/>
              <w:t>业绩 (5.0分)</w:t>
            </w:r>
          </w:p>
        </w:tc>
        <w:tc>
          <w:tcPr>
            <w:tcW w:type="dxa" w:w="5076"/>
          </w:tcPr>
          <w:p>
            <w:pPr>
              <w:pStyle w:val="null3"/>
              <w:jc w:val="left"/>
            </w:pPr>
            <w:r>
              <w:rPr/>
              <w:t>响应供应商2021年1月1日以来（以合同签订日期为准）实施的同类项目（与公安、交警相关）业绩经验情况：每提供1份合同得1分，满分5分。 注：响应文件中提供合同复印件关键页并加盖响应供应商公章，合同应能够体现上述内容，不能体现或无法辨认或不提供均不得分。</w:t>
            </w:r>
          </w:p>
        </w:tc>
      </w:tr>
      <w:tr>
        <w:tc>
          <w:tcPr>
            <w:tcW w:type="dxa" w:w="922"/>
            <w:gridSpan w:val="2"/>
          </w:tcPr>
          <w:p>
            <w:pPr>
              <w:pStyle w:val="null3"/>
              <w:jc w:val="center"/>
            </w:pPr>
            <w:r>
              <w:rPr/>
              <w:t>投标报价</w:t>
            </w:r>
          </w:p>
        </w:tc>
        <w:tc>
          <w:tcPr>
            <w:tcW w:type="dxa" w:w="2307"/>
          </w:tcPr>
          <w:p>
            <w:pPr>
              <w:pStyle w:val="null3"/>
              <w:jc w:val="left"/>
            </w:pPr>
            <w:r>
              <w:rPr/>
              <w:t>投标报价得分 (30.0分)</w:t>
            </w:r>
          </w:p>
        </w:tc>
        <w:tc>
          <w:tcPr>
            <w:tcW w:type="dxa" w:w="5076"/>
          </w:tcPr>
          <w:p>
            <w:pPr>
              <w:pStyle w:val="null3"/>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Pr>
        <w:pStyle w:val="null3"/>
        <w:outlineLvl w:val="3"/>
      </w:pPr>
      <w:r>
        <w:rPr>
          <w:sz w:val="24"/>
          <w:b/>
        </w:rPr>
        <w:t>6.汇总、排序</w:t>
      </w:r>
    </w:p>
    <w:p>
      <w:pPr>
        <w:pStyle w:val="null3"/>
      </w:pPr>
      <w:r>
        <w:rPr/>
        <w:t>采购包1：</w:t>
      </w:r>
    </w:p>
    <w:p>
      <w:pPr>
        <w:pStyle w:val="null3"/>
      </w:pPr>
      <w:r>
        <w:rPr/>
        <w:t>评审结果按评审后总得分由高到低顺序排列。评审得分相同的，按最终报价由低到高顺序排列。得分且最终报价相同的，由谈判小组采取随机抽取的方式确定。排名第一的谈判供应商为第一成交候选人，排名第二的谈判供应商为第二成交候选人（提供相同品牌产品（非单一产品采购，以核心产品为准。多个核心产品的，有一种产品品牌相同，即视为提供相同品牌产品），评审后得分最高的同品牌谈判供应商获得成交候选人推荐资格；评审得分相同的，由采购人或者采购人委托谈判小组采取随机抽取方式确定，其他同品牌谈判供应商不作为成交候选人）。</w:t>
      </w:r>
    </w:p>
    <w:p>
      <w:pPr>
        <w:pStyle w:val="null3"/>
        <w:outlineLvl w:val="3"/>
      </w:pPr>
      <w:r>
        <w:rPr>
          <w:sz w:val="24"/>
          <w:b/>
        </w:rPr>
        <w:t>7.其他无效响应的情形：</w:t>
      </w:r>
    </w:p>
    <w:p>
      <w:pPr>
        <w:pStyle w:val="null3"/>
        <w:ind w:firstLine="480"/>
      </w:pPr>
      <w:r>
        <w:rPr/>
        <w:t>（1）评审期间，供应商没有按磋商小组的要求提交法定代表人或其委托代理人签字的澄清、说明、补正或改变了响应文件的实质性内容的。</w:t>
      </w:r>
    </w:p>
    <w:p>
      <w:pPr>
        <w:pStyle w:val="null3"/>
        <w:ind w:firstLine="480"/>
      </w:pPr>
      <w:r>
        <w:rPr/>
        <w:t>（2）响应文件提供虚假材料的。</w:t>
      </w:r>
    </w:p>
    <w:p>
      <w:pPr>
        <w:pStyle w:val="null3"/>
        <w:ind w:firstLine="480"/>
      </w:pPr>
      <w:r>
        <w:rPr/>
        <w:t>（3）供应商以他人名义响应、串通响应、以行贿手段谋取成交或者以其他弄虚作假方式响应的。</w:t>
      </w:r>
    </w:p>
    <w:p>
      <w:pPr>
        <w:pStyle w:val="null3"/>
        <w:ind w:firstLine="480"/>
      </w:pPr>
      <w:r>
        <w:rPr/>
        <w:t>（4）供应商对采购人、采购代理机构、磋商小组及其工作人员施加影响，有碍招标公平、公正的。</w:t>
      </w:r>
    </w:p>
    <w:p>
      <w:pPr>
        <w:pStyle w:val="null3"/>
        <w:ind w:firstLine="480"/>
      </w:pPr>
      <w:r>
        <w:rPr/>
        <w:t>（5）响应文件含有采购人不能接受的附加条件的。</w:t>
      </w:r>
    </w:p>
    <w:p>
      <w:pPr>
        <w:pStyle w:val="null3"/>
        <w:ind w:firstLine="480"/>
      </w:pPr>
      <w:r>
        <w:rPr/>
        <w:t>（6）法律、法规和磋商文件规定的其他无效情形。</w:t>
      </w:r>
    </w:p>
    <w:p>
      <w:pPr>
        <w:pStyle w:val="null3"/>
      </w:pPr>
      <w:r>
        <w:rPr/>
        <w:t xml:space="preserve">  </w:t>
      </w:r>
    </w:p>
    <w:p>
      <w:pPr>
        <w:pStyle w:val="null3"/>
        <w:jc w:val="center"/>
        <w:outlineLvl w:val="1"/>
      </w:pPr>
      <w:r>
        <w:rPr>
          <w:sz w:val="36"/>
          <w:b/>
        </w:rPr>
        <w:t>第五章 合同文本</w:t>
      </w:r>
    </w:p>
    <w:p>
      <w:pPr>
        <w:pStyle w:val="null3"/>
      </w:pPr>
      <w:r>
        <w:rPr>
          <w:sz w:val="21"/>
        </w:rPr>
        <w:t>（注：本合同仅为合同的参考文本，合同签订双方根据项目的具体要求进行签订）</w:t>
      </w:r>
    </w:p>
    <w:p>
      <w:pPr>
        <w:pStyle w:val="null3"/>
        <w:ind w:firstLine="480"/>
        <w:jc w:val="center"/>
      </w:pPr>
      <w:r>
        <w:rPr>
          <w:b/>
          <w:shd w:fill="FFFFFF" w:val="clear"/>
        </w:rPr>
        <w:t xml:space="preserve"> </w:t>
      </w:r>
    </w:p>
    <w:p>
      <w:pPr>
        <w:pStyle w:val="null3"/>
        <w:ind w:firstLine="480"/>
        <w:jc w:val="center"/>
      </w:pPr>
      <w:r>
        <w:rPr>
          <w:b/>
          <w:shd w:fill="FFFFFF" w:val="clear"/>
        </w:rPr>
        <w:t xml:space="preserve"> </w:t>
      </w:r>
    </w:p>
    <w:p>
      <w:pPr>
        <w:pStyle w:val="null3"/>
        <w:ind w:firstLine="480"/>
        <w:jc w:val="center"/>
      </w:pPr>
      <w:r>
        <w:rPr>
          <w:b/>
          <w:shd w:fill="FFFFFF" w:val="clear"/>
        </w:rPr>
        <w:t xml:space="preserve"> </w:t>
      </w:r>
    </w:p>
    <w:p>
      <w:pPr>
        <w:pStyle w:val="null3"/>
        <w:ind w:firstLine="480"/>
        <w:jc w:val="center"/>
      </w:pPr>
      <w:r>
        <w:rPr>
          <w:b/>
          <w:shd w:fill="FFFFFF" w:val="clear"/>
        </w:rPr>
        <w:t xml:space="preserve"> </w:t>
      </w:r>
    </w:p>
    <w:p>
      <w:pPr>
        <w:pStyle w:val="null3"/>
        <w:ind w:firstLine="480"/>
        <w:jc w:val="center"/>
      </w:pPr>
      <w:r>
        <w:rPr>
          <w:sz w:val="48"/>
          <w:b/>
          <w:color w:val="222222"/>
          <w:shd w:fill="FFFFFF" w:val="clear"/>
        </w:rPr>
        <w:t>广东省政府采购</w:t>
      </w:r>
    </w:p>
    <w:p>
      <w:pPr>
        <w:pStyle w:val="null3"/>
        <w:spacing w:before="150" w:after="150"/>
        <w:ind w:firstLine="480"/>
        <w:jc w:val="both"/>
      </w:pPr>
      <w:r>
        <w:rPr>
          <w:shd w:fill="FFFFFF" w:val="clear"/>
        </w:rPr>
        <w:t xml:space="preserve"> </w:t>
      </w:r>
    </w:p>
    <w:p>
      <w:pPr>
        <w:pStyle w:val="null3"/>
        <w:ind w:firstLine="480"/>
        <w:jc w:val="center"/>
      </w:pPr>
      <w:r>
        <w:rPr>
          <w:sz w:val="48"/>
          <w:b/>
          <w:color w:val="222222"/>
          <w:shd w:fill="FFFFFF" w:val="clear"/>
        </w:rPr>
        <w:t>合　同　书</w:t>
      </w:r>
    </w:p>
    <w:p>
      <w:pPr>
        <w:pStyle w:val="null3"/>
        <w:ind w:firstLine="480"/>
        <w:jc w:val="center"/>
      </w:pPr>
      <w:r>
        <w:br/>
      </w:r>
      <w:r>
        <w:br/>
      </w:r>
      <w:r>
        <w:br/>
      </w:r>
      <w:r>
        <w:br/>
      </w:r>
      <w:r>
        <w:br/>
      </w:r>
      <w:r>
        <w:br/>
      </w:r>
      <w:r>
        <w:br/>
      </w:r>
      <w:r>
        <w:br/>
      </w:r>
      <w:r>
        <w:rPr>
          <w:shd w:fill="FFFFFF" w:val="clear"/>
        </w:rPr>
        <w:t xml:space="preserve">  </w:t>
      </w:r>
    </w:p>
    <w:p>
      <w:pPr>
        <w:pStyle w:val="null3"/>
        <w:ind w:firstLine="480"/>
        <w:jc w:val="center"/>
      </w:pPr>
      <w:r>
        <w:rPr>
          <w:sz w:val="28"/>
          <w:color w:val="222222"/>
          <w:shd w:fill="FFFFFF" w:val="clear"/>
        </w:rPr>
        <w:t>采购计划编号：</w:t>
      </w:r>
      <w:r>
        <w:rPr>
          <w:u w:val="single"/>
          <w:shd w:fill="FFFFFF" w:val="clear"/>
        </w:rPr>
        <w:t xml:space="preserve">                          </w:t>
      </w:r>
    </w:p>
    <w:p>
      <w:pPr>
        <w:pStyle w:val="null3"/>
        <w:spacing w:before="150" w:after="150"/>
        <w:ind w:firstLine="480"/>
        <w:jc w:val="both"/>
      </w:pPr>
      <w:r>
        <w:rPr>
          <w:shd w:fill="FFFFFF" w:val="clear"/>
        </w:rPr>
        <w:t xml:space="preserve"> </w:t>
      </w:r>
    </w:p>
    <w:p>
      <w:pPr>
        <w:pStyle w:val="null3"/>
        <w:ind w:firstLine="480"/>
        <w:jc w:val="center"/>
      </w:pPr>
      <w:r>
        <w:rPr>
          <w:sz w:val="28"/>
          <w:color w:val="222222"/>
          <w:shd w:fill="FFFFFF" w:val="clear"/>
        </w:rPr>
        <w:t>项目编号：</w:t>
      </w:r>
      <w:r>
        <w:rPr>
          <w:u w:val="single"/>
          <w:shd w:fill="FFFFFF" w:val="clear"/>
        </w:rPr>
        <w:t xml:space="preserve">                              </w:t>
      </w:r>
    </w:p>
    <w:p>
      <w:pPr>
        <w:pStyle w:val="null3"/>
        <w:spacing w:before="150" w:after="150"/>
        <w:ind w:firstLine="480"/>
        <w:jc w:val="both"/>
      </w:pPr>
      <w:r>
        <w:rPr>
          <w:shd w:fill="FFFFFF" w:val="clear"/>
        </w:rPr>
        <w:t xml:space="preserve"> </w:t>
      </w:r>
    </w:p>
    <w:p>
      <w:pPr>
        <w:pStyle w:val="null3"/>
        <w:ind w:firstLine="480"/>
        <w:jc w:val="center"/>
      </w:pPr>
      <w:r>
        <w:rPr>
          <w:sz w:val="28"/>
          <w:color w:val="222222"/>
          <w:shd w:fill="FFFFFF" w:val="clear"/>
        </w:rPr>
        <w:t>项目名称：</w:t>
      </w:r>
      <w:r>
        <w:rPr>
          <w:u w:val="single"/>
          <w:shd w:fill="FFFFFF" w:val="clear"/>
        </w:rPr>
        <w:t xml:space="preserve">                             </w:t>
      </w:r>
    </w:p>
    <w:p>
      <w:pPr>
        <w:pStyle w:val="null3"/>
        <w:ind w:firstLine="480"/>
      </w:pPr>
      <w:r>
        <w:rPr>
          <w:shd w:fill="FFFFFF" w:val="clear"/>
        </w:rPr>
        <w:t xml:space="preserve"> </w:t>
      </w:r>
    </w:p>
    <w:p>
      <w:pPr>
        <w:pStyle w:val="null3"/>
        <w:ind w:firstLine="480"/>
      </w:pPr>
      <w:r>
        <w:rPr>
          <w:shd w:fill="FFFFFF" w:val="clear"/>
        </w:rPr>
        <w:t xml:space="preserve"> </w:t>
      </w:r>
    </w:p>
    <w:p>
      <w:pPr>
        <w:pStyle w:val="null3"/>
        <w:ind w:firstLine="480"/>
      </w:pPr>
      <w:r>
        <w:rPr>
          <w:shd w:fill="FFFFFF" w:val="clear"/>
        </w:rPr>
        <w:t xml:space="preserve"> </w:t>
      </w:r>
    </w:p>
    <w:p>
      <w:pPr>
        <w:pStyle w:val="null3"/>
        <w:ind w:firstLine="480"/>
      </w:pPr>
      <w:r>
        <w:rPr>
          <w:shd w:fill="FFFFFF" w:val="clear"/>
        </w:rPr>
        <w:t xml:space="preserve"> </w:t>
      </w:r>
    </w:p>
    <w:p>
      <w:pPr>
        <w:pStyle w:val="null3"/>
        <w:ind w:firstLine="480"/>
      </w:pPr>
      <w:r>
        <w:rPr>
          <w:shd w:fill="FFFFFF" w:val="clear"/>
        </w:rPr>
        <w:t xml:space="preserve"> </w:t>
      </w:r>
    </w:p>
    <w:p>
      <w:pPr>
        <w:pStyle w:val="null3"/>
        <w:ind w:firstLine="480"/>
      </w:pPr>
      <w:r>
        <w:rPr>
          <w:shd w:fill="FFFFFF" w:val="clear"/>
        </w:rPr>
        <w:t xml:space="preserve"> </w:t>
      </w:r>
    </w:p>
    <w:p>
      <w:pPr>
        <w:pStyle w:val="null3"/>
        <w:ind w:firstLine="480"/>
      </w:pPr>
      <w:r>
        <w:rPr>
          <w:shd w:fill="FFFFFF" w:val="clear"/>
        </w:rPr>
        <w:t xml:space="preserve"> </w:t>
      </w:r>
    </w:p>
    <w:p>
      <w:pPr>
        <w:pStyle w:val="null3"/>
        <w:ind w:firstLine="480"/>
      </w:pPr>
      <w:r>
        <w:rPr>
          <w:shd w:fill="FFFFFF" w:val="clear"/>
        </w:rPr>
        <w:t xml:space="preserve"> </w:t>
      </w:r>
    </w:p>
    <w:p>
      <w:pPr>
        <w:pStyle w:val="null3"/>
        <w:ind w:firstLine="480"/>
      </w:pPr>
      <w:r>
        <w:rPr>
          <w:shd w:fill="FFFFFF" w:val="clear"/>
        </w:rPr>
        <w:t xml:space="preserve"> </w:t>
      </w:r>
    </w:p>
    <w:p>
      <w:pPr>
        <w:pStyle w:val="null3"/>
        <w:ind w:firstLine="480"/>
        <w:jc w:val="both"/>
      </w:pPr>
      <w:r>
        <w:br/>
      </w:r>
      <w:r>
        <w:rPr>
          <w:shd w:fill="FFFFFF" w:val="clear"/>
        </w:rPr>
        <w:t xml:space="preserve">  </w:t>
      </w:r>
    </w:p>
    <w:p>
      <w:pPr>
        <w:pStyle w:val="null3"/>
        <w:ind w:firstLine="480"/>
      </w:pPr>
      <w:r>
        <w:rPr>
          <w:sz w:val="21"/>
        </w:rPr>
        <w:t>甲　　方：　　　　　</w:t>
      </w:r>
    </w:p>
    <w:p>
      <w:pPr>
        <w:pStyle w:val="null3"/>
        <w:ind w:firstLine="480"/>
      </w:pPr>
      <w:r>
        <w:rPr>
          <w:sz w:val="21"/>
        </w:rPr>
        <w:t>电　　话：　　　　　　传　　真：　　　　　地　　址：　　　</w:t>
      </w:r>
    </w:p>
    <w:p>
      <w:pPr>
        <w:pStyle w:val="null3"/>
        <w:ind w:firstLine="480"/>
      </w:pPr>
      <w:r>
        <w:rPr>
          <w:sz w:val="21"/>
        </w:rPr>
        <w:t>乙　　方：　　　　　</w:t>
      </w:r>
    </w:p>
    <w:p>
      <w:pPr>
        <w:pStyle w:val="null3"/>
        <w:ind w:firstLine="480"/>
      </w:pPr>
      <w:r>
        <w:rPr>
          <w:sz w:val="21"/>
        </w:rPr>
        <w:t>电　　话：　　　　　　传　　真：　　　　　地　　址：　　　</w:t>
      </w:r>
    </w:p>
    <w:p>
      <w:pPr>
        <w:pStyle w:val="null3"/>
        <w:ind w:firstLine="480"/>
      </w:pPr>
      <w:r>
        <w:rPr/>
        <w:t xml:space="preserve"> </w:t>
      </w:r>
    </w:p>
    <w:p>
      <w:pPr>
        <w:pStyle w:val="null3"/>
        <w:ind w:firstLine="480"/>
      </w:pPr>
      <w:r>
        <w:rPr>
          <w:sz w:val="21"/>
        </w:rPr>
        <w:t>根据</w:t>
      </w:r>
      <w:r>
        <w:rPr>
          <w:sz w:val="21"/>
        </w:rPr>
        <w:t>民众街道多宝路段和阳光大道等路段违法抓拍系统及交通信号灯后台建设</w:t>
      </w:r>
      <w:r>
        <w:rPr>
          <w:sz w:val="21"/>
        </w:rPr>
        <w:t>项目的采购结果，按照《中华人民共和国政府采购法》、《中华人民共和国民法典</w:t>
      </w:r>
      <w:r>
        <w:rPr>
          <w:sz w:val="21"/>
        </w:rPr>
        <w:t>(</w:t>
      </w:r>
      <w:r>
        <w:rPr>
          <w:sz w:val="21"/>
        </w:rPr>
        <w:t>合同编</w:t>
      </w:r>
      <w:r>
        <w:rPr>
          <w:sz w:val="21"/>
        </w:rPr>
        <w:t>)</w:t>
      </w:r>
      <w:r>
        <w:rPr>
          <w:sz w:val="21"/>
        </w:rPr>
        <w:t>》的规定，经双方协商，本着平等互利和诚实信用的原则，一致同意签订本合同如下。</w:t>
      </w:r>
    </w:p>
    <w:p>
      <w:pPr>
        <w:pStyle w:val="null3"/>
        <w:ind w:firstLine="480"/>
      </w:pPr>
      <w:r>
        <w:rPr>
          <w:sz w:val="21"/>
        </w:rPr>
        <w:t>一、货物内容</w:t>
      </w:r>
    </w:p>
    <w:tbl>
      <w:tblPr>
        <w:tblW w:w="0" w:type="auto"/>
        <w:tblBorders>
          <w:top w:val="none" w:color="000000" w:sz="4"/>
          <w:left w:val="none" w:color="000000" w:sz="4"/>
          <w:bottom w:val="none" w:color="000000" w:sz="4"/>
          <w:right w:val="none" w:color="000000" w:sz="4"/>
          <w:insideH w:val="none"/>
          <w:insideV w:val="none"/>
        </w:tblBorders>
      </w:tblPr>
      <w:tblGrid>
        <w:gridCol w:w="793"/>
        <w:gridCol w:w="4032"/>
        <w:gridCol w:w="793"/>
        <w:gridCol w:w="534"/>
        <w:gridCol w:w="534"/>
        <w:gridCol w:w="810"/>
        <w:gridCol w:w="810"/>
      </w:tblGrid>
      <w:tr>
        <w:tc>
          <w:tcPr>
            <w:tcW w:type="dxa" w:w="793"/>
            <w:tcBorders>
              <w:top w:val="single" w:color="CCCCCC" w:sz="4"/>
              <w:left w:val="single" w:color="CCCCCC"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名称</w:t>
            </w:r>
          </w:p>
        </w:tc>
        <w:tc>
          <w:tcPr>
            <w:tcW w:type="dxa" w:w="4032"/>
            <w:tcBorders>
              <w:top w:val="single" w:color="CCCCCC"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品牌、规格、标准</w:t>
            </w:r>
            <w:r>
              <w:rPr>
                <w:sz w:val="21"/>
              </w:rPr>
              <w:t>/</w:t>
            </w:r>
            <w:r>
              <w:rPr>
                <w:sz w:val="21"/>
              </w:rPr>
              <w:t>主要服务内容</w:t>
            </w:r>
          </w:p>
        </w:tc>
        <w:tc>
          <w:tcPr>
            <w:tcW w:type="dxa" w:w="793"/>
            <w:tcBorders>
              <w:top w:val="single" w:color="CCCCCC"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产地</w:t>
            </w:r>
          </w:p>
        </w:tc>
        <w:tc>
          <w:tcPr>
            <w:tcW w:type="dxa" w:w="534"/>
            <w:tcBorders>
              <w:top w:val="single" w:color="CCCCCC"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数量</w:t>
            </w:r>
          </w:p>
        </w:tc>
        <w:tc>
          <w:tcPr>
            <w:tcW w:type="dxa" w:w="534"/>
            <w:tcBorders>
              <w:top w:val="single" w:color="CCCCCC"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单位</w:t>
            </w:r>
          </w:p>
        </w:tc>
        <w:tc>
          <w:tcPr>
            <w:tcW w:type="dxa" w:w="810"/>
            <w:tcBorders>
              <w:top w:val="single" w:color="CCCCCC"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单价</w:t>
            </w:r>
          </w:p>
          <w:p>
            <w:pPr>
              <w:pStyle w:val="null3"/>
              <w:ind w:firstLine="480"/>
            </w:pPr>
            <w:r>
              <w:rPr>
                <w:sz w:val="21"/>
              </w:rPr>
              <w:t>（元）</w:t>
            </w:r>
          </w:p>
        </w:tc>
        <w:tc>
          <w:tcPr>
            <w:tcW w:type="dxa" w:w="810"/>
            <w:tcBorders>
              <w:top w:val="single" w:color="CCCCCC"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金额</w:t>
            </w:r>
          </w:p>
          <w:p>
            <w:pPr>
              <w:pStyle w:val="null3"/>
              <w:ind w:firstLine="480"/>
            </w:pPr>
            <w:r>
              <w:rPr>
                <w:sz w:val="21"/>
              </w:rPr>
              <w:t>（元）</w:t>
            </w:r>
          </w:p>
        </w:tc>
      </w:tr>
      <w:tr>
        <w:tc>
          <w:tcPr>
            <w:tcW w:type="dxa" w:w="793"/>
            <w:tcBorders>
              <w:top w:val="single" w:color="000000" w:sz="4"/>
              <w:left w:val="single" w:color="CCCCCC"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 xml:space="preserve"> </w:t>
            </w:r>
            <w:r>
              <w:rPr>
                <w:sz w:val="21"/>
              </w:rPr>
              <w:t>**</w:t>
            </w:r>
          </w:p>
        </w:tc>
        <w:tc>
          <w:tcPr>
            <w:tcW w:type="dxa" w:w="4032"/>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w:t>
            </w:r>
          </w:p>
        </w:tc>
        <w:tc>
          <w:tcPr>
            <w:tcW w:type="dxa" w:w="793"/>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w:t>
            </w:r>
          </w:p>
        </w:tc>
        <w:tc>
          <w:tcPr>
            <w:tcW w:type="dxa" w:w="534"/>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w:t>
            </w:r>
          </w:p>
        </w:tc>
        <w:tc>
          <w:tcPr>
            <w:tcW w:type="dxa" w:w="534"/>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w:t>
            </w:r>
          </w:p>
        </w:tc>
        <w:tc>
          <w:tcPr>
            <w:tcW w:type="dxa" w:w="810"/>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 xml:space="preserve"> </w:t>
            </w:r>
            <w:r>
              <w:rPr>
                <w:sz w:val="21"/>
              </w:rPr>
              <w:t>**</w:t>
            </w:r>
          </w:p>
        </w:tc>
        <w:tc>
          <w:tcPr>
            <w:tcW w:type="dxa" w:w="810"/>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w:t>
            </w:r>
          </w:p>
        </w:tc>
      </w:tr>
      <w:tr>
        <w:tc>
          <w:tcPr>
            <w:tcW w:type="dxa" w:w="793"/>
            <w:tcBorders>
              <w:top w:val="single" w:color="000000" w:sz="4"/>
              <w:left w:val="single" w:color="CCCCCC"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4032"/>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793"/>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534"/>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534"/>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810"/>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810"/>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r>
      <w:tr>
        <w:tc>
          <w:tcPr>
            <w:tcW w:type="dxa" w:w="793"/>
            <w:tcBorders>
              <w:top w:val="single" w:color="000000" w:sz="4"/>
              <w:left w:val="single" w:color="CCCCCC"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4032"/>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793"/>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534"/>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534"/>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810"/>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810"/>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r>
      <w:tr>
        <w:tc>
          <w:tcPr>
            <w:tcW w:type="dxa" w:w="793"/>
            <w:tcBorders>
              <w:top w:val="single" w:color="000000" w:sz="4"/>
              <w:left w:val="single" w:color="CCCCCC"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4032"/>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793"/>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534"/>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534"/>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810"/>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810"/>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r>
      <w:tr>
        <w:tc>
          <w:tcPr>
            <w:tcW w:type="dxa" w:w="793"/>
            <w:tcBorders>
              <w:top w:val="single" w:color="000000" w:sz="4"/>
              <w:left w:val="single" w:color="CCCCCC"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4032"/>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793"/>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534"/>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534"/>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810"/>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c>
          <w:tcPr>
            <w:tcW w:type="dxa" w:w="810"/>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19"/>
              </w:rPr>
              <w:t xml:space="preserve"> </w:t>
            </w:r>
          </w:p>
        </w:tc>
      </w:tr>
      <w:tr>
        <w:tc>
          <w:tcPr>
            <w:tcW w:type="dxa" w:w="7496"/>
            <w:gridSpan w:val="6"/>
            <w:tcBorders>
              <w:top w:val="single" w:color="000000" w:sz="4"/>
              <w:left w:val="single" w:color="CCCCCC"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合计：人民币大写：</w:t>
            </w:r>
            <w:r>
              <w:rPr>
                <w:sz w:val="21"/>
              </w:rPr>
              <w:t>**</w:t>
            </w:r>
            <w:r>
              <w:rPr>
                <w:sz w:val="21"/>
              </w:rPr>
              <w:t>元整</w:t>
            </w:r>
          </w:p>
        </w:tc>
        <w:tc>
          <w:tcPr>
            <w:tcW w:type="dxa" w:w="810"/>
            <w:tcBorders>
              <w:top w:val="single" w:color="000000" w:sz="4"/>
              <w:left w:val="single" w:color="000000" w:sz="4"/>
              <w:bottom w:val="single" w:color="CCCCCC" w:sz="4"/>
              <w:right w:val="single" w:color="CCCCCC" w:sz="4"/>
            </w:tcBorders>
            <w:tcMar>
              <w:top w:type="dxa" w:w="0"/>
              <w:left w:type="dxa" w:w="105"/>
              <w:bottom w:type="dxa" w:w="0"/>
              <w:right w:type="dxa" w:w="105"/>
            </w:tcMar>
            <w:vAlign w:val="top"/>
          </w:tcPr>
          <w:p>
            <w:pPr>
              <w:pStyle w:val="null3"/>
              <w:ind w:firstLine="480"/>
            </w:pPr>
            <w:r>
              <w:rPr>
                <w:sz w:val="21"/>
              </w:rPr>
              <w:t>￥：</w:t>
            </w:r>
            <w:r>
              <w:rPr>
                <w:sz w:val="21"/>
              </w:rPr>
              <w:t>**</w:t>
            </w:r>
          </w:p>
        </w:tc>
      </w:tr>
      <w:tr>
        <w:tc>
          <w:tcPr>
            <w:tcW w:type="dxa" w:w="793"/>
            <w:tcBorders>
              <w:top w:val="none" w:color="000000" w:sz="4"/>
              <w:left w:val="none" w:color="000000" w:sz="4"/>
              <w:bottom w:val="none" w:color="000000" w:sz="4"/>
              <w:right w:val="none" w:color="000000" w:sz="4"/>
            </w:tcBorders>
            <w:tcMar>
              <w:top w:type="dxa" w:w="0"/>
              <w:left w:type="dxa" w:w="105"/>
              <w:bottom w:type="dxa" w:w="0"/>
              <w:right w:type="dxa" w:w="105"/>
            </w:tcMar>
            <w:vAlign w:val="top"/>
          </w:tcPr>
          <w:p>
            <w:pPr>
              <w:pStyle w:val="null3"/>
              <w:ind w:firstLine="480"/>
            </w:pPr>
          </w:p>
        </w:tc>
        <w:tc>
          <w:tcPr>
            <w:tcW w:type="dxa" w:w="4032"/>
            <w:tcBorders>
              <w:top w:val="none" w:color="000000" w:sz="4"/>
              <w:left w:val="none" w:color="000000" w:sz="4"/>
              <w:bottom w:val="none" w:color="000000" w:sz="4"/>
              <w:right w:val="none" w:color="000000" w:sz="4"/>
            </w:tcBorders>
            <w:tcMar>
              <w:top w:type="dxa" w:w="0"/>
              <w:left w:type="dxa" w:w="105"/>
              <w:bottom w:type="dxa" w:w="0"/>
              <w:right w:type="dxa" w:w="105"/>
            </w:tcMar>
            <w:vAlign w:val="top"/>
          </w:tcPr>
          <w:p/>
        </w:tc>
        <w:tc>
          <w:tcPr>
            <w:tcW w:type="dxa" w:w="793"/>
            <w:tcBorders>
              <w:top w:val="none" w:color="000000" w:sz="4"/>
              <w:left w:val="none" w:color="000000" w:sz="4"/>
              <w:bottom w:val="none" w:color="000000" w:sz="4"/>
              <w:right w:val="none" w:color="000000" w:sz="4"/>
            </w:tcBorders>
            <w:tcMar>
              <w:top w:type="dxa" w:w="0"/>
              <w:left w:type="dxa" w:w="105"/>
              <w:bottom w:type="dxa" w:w="0"/>
              <w:right w:type="dxa" w:w="105"/>
            </w:tcMar>
            <w:vAlign w:val="top"/>
          </w:tcPr>
          <w:p/>
        </w:tc>
        <w:tc>
          <w:tcPr>
            <w:tcW w:type="dxa" w:w="534"/>
            <w:tcBorders>
              <w:top w:val="none" w:color="000000" w:sz="4"/>
              <w:left w:val="none" w:color="000000" w:sz="4"/>
              <w:bottom w:val="none" w:color="000000" w:sz="4"/>
              <w:right w:val="none" w:color="000000" w:sz="4"/>
            </w:tcBorders>
            <w:tcMar>
              <w:top w:type="dxa" w:w="0"/>
              <w:left w:type="dxa" w:w="105"/>
              <w:bottom w:type="dxa" w:w="0"/>
              <w:right w:type="dxa" w:w="105"/>
            </w:tcMar>
            <w:vAlign w:val="top"/>
          </w:tcPr>
          <w:p/>
        </w:tc>
        <w:tc>
          <w:tcPr>
            <w:tcW w:type="dxa" w:w="534"/>
            <w:tcBorders>
              <w:top w:val="none" w:color="000000" w:sz="4"/>
              <w:left w:val="none" w:color="000000" w:sz="4"/>
              <w:bottom w:val="none" w:color="000000" w:sz="4"/>
              <w:right w:val="none" w:color="000000" w:sz="4"/>
            </w:tcBorders>
            <w:tcMar>
              <w:top w:type="dxa" w:w="0"/>
              <w:left w:type="dxa" w:w="105"/>
              <w:bottom w:type="dxa" w:w="0"/>
              <w:right w:type="dxa" w:w="105"/>
            </w:tcMar>
            <w:vAlign w:val="top"/>
          </w:tcPr>
          <w:p/>
        </w:tc>
        <w:tc>
          <w:tcPr>
            <w:tcW w:type="dxa" w:w="810"/>
            <w:tcBorders>
              <w:top w:val="none" w:color="000000" w:sz="4"/>
              <w:left w:val="none" w:color="000000" w:sz="4"/>
              <w:bottom w:val="none" w:color="000000" w:sz="4"/>
              <w:right w:val="none" w:color="000000" w:sz="4"/>
            </w:tcBorders>
            <w:tcMar>
              <w:top w:type="dxa" w:w="0"/>
              <w:left w:type="dxa" w:w="105"/>
              <w:bottom w:type="dxa" w:w="0"/>
              <w:right w:type="dxa" w:w="105"/>
            </w:tcMar>
            <w:vAlign w:val="top"/>
          </w:tcPr>
          <w:p/>
        </w:tc>
        <w:tc>
          <w:tcPr>
            <w:tcW w:type="dxa" w:w="810"/>
            <w:tcBorders>
              <w:top w:val="none" w:color="000000" w:sz="4"/>
              <w:left w:val="none" w:color="000000" w:sz="4"/>
              <w:bottom w:val="none" w:color="000000" w:sz="4"/>
              <w:right w:val="none" w:color="000000" w:sz="4"/>
            </w:tcBorders>
            <w:tcMar>
              <w:top w:type="dxa" w:w="0"/>
              <w:left w:type="dxa" w:w="105"/>
              <w:bottom w:type="dxa" w:w="0"/>
              <w:right w:type="dxa" w:w="105"/>
            </w:tcMar>
            <w:vAlign w:val="top"/>
          </w:tcPr>
          <w:p/>
        </w:tc>
      </w:tr>
    </w:tbl>
    <w:p>
      <w:pPr>
        <w:pStyle w:val="null3"/>
      </w:pPr>
      <w:r>
        <w:rPr/>
        <w:t xml:space="preserve"> </w:t>
      </w:r>
    </w:p>
    <w:p>
      <w:pPr>
        <w:pStyle w:val="null3"/>
        <w:ind w:firstLine="480"/>
      </w:pPr>
      <w:r>
        <w:rPr>
          <w:sz w:val="21"/>
        </w:rPr>
        <w:t>合同总额包括乙方设计、安装、随机零配件、标配工具、运输保险、调试、培训、质保期服务、各项税费及合同实施过程中不可预见费用等。</w:t>
      </w:r>
    </w:p>
    <w:p>
      <w:pPr>
        <w:pStyle w:val="null3"/>
        <w:ind w:firstLine="480"/>
      </w:pPr>
      <w:r>
        <w:rPr>
          <w:sz w:val="21"/>
        </w:rPr>
        <w:t>注：货物名称内容必须与投标文件中货物名称内容一致。</w:t>
      </w:r>
    </w:p>
    <w:p>
      <w:pPr>
        <w:pStyle w:val="null3"/>
        <w:ind w:firstLine="480"/>
      </w:pPr>
      <w:r>
        <w:rPr>
          <w:sz w:val="21"/>
        </w:rPr>
        <w:t>二、合同金额</w:t>
      </w:r>
    </w:p>
    <w:p>
      <w:pPr>
        <w:pStyle w:val="null3"/>
        <w:ind w:firstLine="480"/>
      </w:pPr>
      <w:r>
        <w:rPr>
          <w:sz w:val="21"/>
        </w:rPr>
        <w:t>合同金额为（大写）：</w:t>
      </w:r>
      <w:r>
        <w:rPr>
          <w:sz w:val="21"/>
        </w:rPr>
        <w:t>_________________</w:t>
      </w:r>
      <w:r>
        <w:rPr>
          <w:sz w:val="21"/>
        </w:rPr>
        <w:t>元（￥</w:t>
      </w:r>
      <w:r>
        <w:rPr>
          <w:sz w:val="21"/>
        </w:rPr>
        <w:t>_______________</w:t>
      </w:r>
      <w:r>
        <w:rPr>
          <w:sz w:val="21"/>
        </w:rPr>
        <w:t>元）人民币。</w:t>
      </w:r>
    </w:p>
    <w:p>
      <w:pPr>
        <w:pStyle w:val="null3"/>
        <w:ind w:firstLine="480"/>
      </w:pPr>
      <w:r>
        <w:rPr>
          <w:sz w:val="21"/>
        </w:rPr>
        <w:t>三、设备要求</w:t>
      </w:r>
    </w:p>
    <w:p>
      <w:pPr>
        <w:pStyle w:val="null3"/>
        <w:ind w:firstLine="480"/>
      </w:pPr>
      <w:r>
        <w:rPr>
          <w:sz w:val="21"/>
        </w:rPr>
        <w:t>货物为原制造商制造的全新产品，整机无污染，无侵权行为、表面无划损、无任何缺陷隐患，在中国境内可依常规安全合法使用。</w:t>
      </w:r>
    </w:p>
    <w:p>
      <w:pPr>
        <w:pStyle w:val="null3"/>
        <w:ind w:firstLine="480"/>
      </w:pPr>
      <w:r>
        <w:rPr>
          <w:sz w:val="21"/>
        </w:rPr>
        <w:t>四、交货期、交货方式及交货地点</w:t>
      </w:r>
    </w:p>
    <w:p>
      <w:pPr>
        <w:pStyle w:val="null3"/>
        <w:ind w:firstLine="480"/>
      </w:pPr>
      <w:r>
        <w:rPr>
          <w:sz w:val="21"/>
        </w:rPr>
        <w:t xml:space="preserve"> </w:t>
      </w:r>
      <w:r>
        <w:rPr>
          <w:sz w:val="21"/>
        </w:rPr>
        <w:t>1.</w:t>
      </w:r>
      <w:r>
        <w:rPr>
          <w:sz w:val="21"/>
        </w:rPr>
        <w:t>交货期：合同签订之日起</w:t>
      </w:r>
      <w:r>
        <w:rPr>
          <w:sz w:val="21"/>
        </w:rPr>
        <w:t>100</w:t>
      </w:r>
      <w:r>
        <w:rPr>
          <w:sz w:val="21"/>
        </w:rPr>
        <w:t>个日历天内完成所有设施的安装部署并通过初步验收，设备建设安装调试完成试运行</w:t>
      </w:r>
      <w:r>
        <w:rPr>
          <w:sz w:val="21"/>
        </w:rPr>
        <w:t>10</w:t>
      </w:r>
      <w:r>
        <w:rPr>
          <w:sz w:val="21"/>
        </w:rPr>
        <w:t>个日历天后</w:t>
      </w:r>
      <w:r>
        <w:rPr>
          <w:sz w:val="21"/>
        </w:rPr>
        <w:t>5</w:t>
      </w:r>
      <w:r>
        <w:rPr>
          <w:sz w:val="21"/>
        </w:rPr>
        <w:t>个工作日内组织验收。</w:t>
      </w:r>
    </w:p>
    <w:p>
      <w:pPr>
        <w:pStyle w:val="null3"/>
        <w:ind w:firstLine="480"/>
      </w:pPr>
      <w:r>
        <w:rPr>
          <w:sz w:val="21"/>
        </w:rPr>
        <w:t xml:space="preserve"> </w:t>
      </w:r>
      <w:r>
        <w:rPr>
          <w:sz w:val="21"/>
        </w:rPr>
        <w:t>2.</w:t>
      </w:r>
      <w:r>
        <w:rPr>
          <w:sz w:val="21"/>
        </w:rPr>
        <w:t>交货方式：</w:t>
      </w:r>
      <w:r>
        <w:rPr>
          <w:sz w:val="21"/>
        </w:rPr>
        <w:t>按甲方要求。</w:t>
      </w:r>
    </w:p>
    <w:p>
      <w:pPr>
        <w:pStyle w:val="null3"/>
        <w:ind w:firstLine="480"/>
      </w:pPr>
      <w:r>
        <w:rPr>
          <w:sz w:val="21"/>
        </w:rPr>
        <w:t xml:space="preserve"> </w:t>
      </w:r>
      <w:r>
        <w:rPr>
          <w:sz w:val="21"/>
        </w:rPr>
        <w:t>3.</w:t>
      </w:r>
      <w:r>
        <w:rPr>
          <w:sz w:val="21"/>
        </w:rPr>
        <w:t>交货地点：</w:t>
      </w:r>
      <w:r>
        <w:rPr>
          <w:sz w:val="21"/>
        </w:rPr>
        <w:t>甲方</w:t>
      </w:r>
      <w:r>
        <w:rPr>
          <w:sz w:val="21"/>
        </w:rPr>
        <w:t>指定地点。</w:t>
      </w:r>
    </w:p>
    <w:p>
      <w:pPr>
        <w:pStyle w:val="null3"/>
        <w:ind w:firstLine="480"/>
      </w:pPr>
      <w:r>
        <w:rPr>
          <w:sz w:val="21"/>
        </w:rPr>
        <w:t>五、</w:t>
      </w:r>
      <w:r>
        <w:rPr>
          <w:sz w:val="21"/>
        </w:rPr>
        <w:t>付款方式</w:t>
      </w:r>
    </w:p>
    <w:p>
      <w:pPr>
        <w:pStyle w:val="null3"/>
        <w:ind w:firstLine="420"/>
        <w:jc w:val="both"/>
      </w:pPr>
      <w:r>
        <w:rPr>
          <w:sz w:val="21"/>
        </w:rPr>
        <w:t>1.</w:t>
      </w:r>
      <w:r>
        <w:rPr>
          <w:sz w:val="21"/>
        </w:rPr>
        <w:t>合同签订生效后的</w:t>
      </w:r>
      <w:r>
        <w:rPr>
          <w:sz w:val="21"/>
        </w:rPr>
        <w:t>30</w:t>
      </w:r>
      <w:r>
        <w:rPr>
          <w:sz w:val="21"/>
        </w:rPr>
        <w:t>个工作日内，将合同金额的</w:t>
      </w:r>
      <w:r>
        <w:rPr>
          <w:sz w:val="21"/>
        </w:rPr>
        <w:t>40</w:t>
      </w:r>
      <w:r>
        <w:rPr>
          <w:sz w:val="21"/>
        </w:rPr>
        <w:t>％支付给</w:t>
      </w:r>
      <w:r>
        <w:rPr>
          <w:sz w:val="21"/>
        </w:rPr>
        <w:t>乙方</w:t>
      </w:r>
      <w:r>
        <w:rPr>
          <w:sz w:val="21"/>
        </w:rPr>
        <w:t>作为预付款</w:t>
      </w:r>
      <w:r>
        <w:rPr>
          <w:sz w:val="21"/>
        </w:rPr>
        <w:t>。</w:t>
      </w:r>
    </w:p>
    <w:p>
      <w:pPr>
        <w:pStyle w:val="null3"/>
        <w:ind w:firstLine="420"/>
        <w:jc w:val="both"/>
      </w:pPr>
      <w:r>
        <w:rPr>
          <w:sz w:val="21"/>
        </w:rPr>
        <w:t>2.</w:t>
      </w:r>
      <w:r>
        <w:rPr>
          <w:sz w:val="21"/>
        </w:rPr>
        <w:t>项目设备安装调试初步验收合格后的</w:t>
      </w:r>
      <w:r>
        <w:rPr>
          <w:sz w:val="21"/>
        </w:rPr>
        <w:t>30</w:t>
      </w:r>
      <w:r>
        <w:rPr>
          <w:sz w:val="21"/>
        </w:rPr>
        <w:t>个工作日内，将合同金额的</w:t>
      </w:r>
      <w:r>
        <w:rPr>
          <w:sz w:val="21"/>
        </w:rPr>
        <w:t>40</w:t>
      </w:r>
      <w:r>
        <w:rPr>
          <w:sz w:val="21"/>
        </w:rPr>
        <w:t>％支付给乙方。</w:t>
      </w:r>
    </w:p>
    <w:p>
      <w:pPr>
        <w:pStyle w:val="null3"/>
        <w:ind w:firstLine="420"/>
        <w:jc w:val="both"/>
      </w:pPr>
      <w:r>
        <w:rPr>
          <w:sz w:val="21"/>
        </w:rPr>
        <w:t>3.</w:t>
      </w:r>
      <w:r>
        <w:rPr>
          <w:sz w:val="21"/>
        </w:rPr>
        <w:t>项目设备安装调试最终验收合格后的</w:t>
      </w:r>
      <w:r>
        <w:rPr>
          <w:sz w:val="21"/>
        </w:rPr>
        <w:t>30</w:t>
      </w:r>
      <w:r>
        <w:rPr>
          <w:sz w:val="21"/>
        </w:rPr>
        <w:t>个工作日内，将合同金额的</w:t>
      </w:r>
      <w:r>
        <w:rPr>
          <w:sz w:val="21"/>
        </w:rPr>
        <w:t>20</w:t>
      </w:r>
      <w:r>
        <w:rPr>
          <w:sz w:val="21"/>
        </w:rPr>
        <w:t>％支付给乙方。</w:t>
      </w:r>
    </w:p>
    <w:p>
      <w:pPr>
        <w:pStyle w:val="null3"/>
        <w:ind w:firstLine="480"/>
      </w:pPr>
      <w:r>
        <w:rPr>
          <w:sz w:val="21"/>
        </w:rPr>
        <w:t>4.</w:t>
      </w:r>
      <w:r>
        <w:rPr>
          <w:sz w:val="21"/>
        </w:rPr>
        <w:t>因甲方使用的是财政资金，甲方规定的付款时间为向财政部门提出办理财政支付申请手续的时间</w:t>
      </w:r>
      <w:r>
        <w:rPr>
          <w:sz w:val="21"/>
        </w:rPr>
        <w:t>(</w:t>
      </w:r>
      <w:r>
        <w:rPr>
          <w:sz w:val="21"/>
        </w:rPr>
        <w:t>不含政府财政支付部门审核的时间</w:t>
      </w:r>
      <w:r>
        <w:rPr>
          <w:sz w:val="21"/>
        </w:rPr>
        <w:t>)</w:t>
      </w:r>
      <w:r>
        <w:rPr>
          <w:sz w:val="21"/>
        </w:rPr>
        <w:t>，在规定时间内提出支付申请手续后即视为甲方已经按期支付。</w:t>
      </w:r>
    </w:p>
    <w:p>
      <w:pPr>
        <w:pStyle w:val="null3"/>
        <w:ind w:firstLine="480"/>
      </w:pPr>
      <w:r>
        <w:rPr>
          <w:sz w:val="21"/>
        </w:rPr>
        <w:t>六、质保期及售后服务要求</w:t>
      </w:r>
    </w:p>
    <w:p>
      <w:pPr>
        <w:pStyle w:val="null3"/>
        <w:ind w:firstLine="480"/>
      </w:pPr>
      <w:r>
        <w:rPr>
          <w:sz w:val="21"/>
        </w:rPr>
        <w:t>1.</w:t>
      </w:r>
      <w:r>
        <w:rPr>
          <w:sz w:val="21"/>
        </w:rPr>
        <w:t>本项目的主要设备在非人为因素造成故障的情况下</w:t>
      </w:r>
      <w:r>
        <w:rPr>
          <w:sz w:val="21"/>
        </w:rPr>
        <w:t>质量保证期（简称</w:t>
      </w:r>
      <w:r>
        <w:rPr>
          <w:sz w:val="21"/>
        </w:rPr>
        <w:t>“质保</w:t>
      </w:r>
    </w:p>
    <w:p>
      <w:pPr>
        <w:pStyle w:val="null3"/>
        <w:ind w:firstLine="480"/>
      </w:pPr>
      <w:r>
        <w:rPr>
          <w:sz w:val="21"/>
        </w:rPr>
        <w:t>期</w:t>
      </w:r>
      <w:r>
        <w:rPr>
          <w:sz w:val="21"/>
        </w:rPr>
        <w:t>”）为</w:t>
      </w:r>
      <w:r>
        <w:rPr>
          <w:sz w:val="21"/>
        </w:rPr>
        <w:t>：软件产品质保期为</w:t>
      </w:r>
      <w:r>
        <w:rPr>
          <w:sz w:val="21"/>
        </w:rPr>
        <w:t>3</w:t>
      </w:r>
      <w:r>
        <w:rPr>
          <w:sz w:val="21"/>
        </w:rPr>
        <w:t>年，</w:t>
      </w:r>
      <w:r>
        <w:rPr>
          <w:sz w:val="21"/>
        </w:rPr>
        <w:t>其他货物质保期为</w:t>
      </w:r>
      <w:r>
        <w:rPr>
          <w:sz w:val="21"/>
        </w:rPr>
        <w:t>3</w:t>
      </w:r>
      <w:r>
        <w:rPr>
          <w:sz w:val="21"/>
        </w:rPr>
        <w:t>年，</w:t>
      </w:r>
      <w:r>
        <w:rPr>
          <w:sz w:val="21"/>
        </w:rPr>
        <w:t>质保期内</w:t>
      </w:r>
      <w:r>
        <w:rPr>
          <w:sz w:val="21"/>
        </w:rPr>
        <w:t>乙方</w:t>
      </w:r>
      <w:r>
        <w:rPr>
          <w:sz w:val="21"/>
        </w:rPr>
        <w:t>对所供货物实行</w:t>
      </w:r>
      <w:r>
        <w:rPr>
          <w:sz w:val="21"/>
        </w:rPr>
        <w:t>免费</w:t>
      </w:r>
      <w:r>
        <w:rPr>
          <w:sz w:val="21"/>
        </w:rPr>
        <w:t>包修、包换、包退、包维护保养。</w:t>
      </w:r>
      <w:r>
        <w:rPr>
          <w:sz w:val="21"/>
        </w:rPr>
        <w:t>（如技术参数中有具体要求，按具体要求执行）</w:t>
      </w:r>
    </w:p>
    <w:p>
      <w:pPr>
        <w:pStyle w:val="null3"/>
        <w:ind w:firstLine="480"/>
      </w:pPr>
      <w:r>
        <w:rPr>
          <w:sz w:val="21"/>
        </w:rPr>
        <w:t>2.</w:t>
      </w:r>
      <w:r>
        <w:rPr>
          <w:sz w:val="21"/>
        </w:rPr>
        <w:t>乙方</w:t>
      </w:r>
      <w:r>
        <w:rPr>
          <w:sz w:val="21"/>
        </w:rPr>
        <w:t>提供终身维修服务，在</w:t>
      </w:r>
      <w:r>
        <w:rPr>
          <w:sz w:val="21"/>
        </w:rPr>
        <w:t>质保期</w:t>
      </w:r>
      <w:r>
        <w:rPr>
          <w:sz w:val="21"/>
        </w:rPr>
        <w:t>外发生的质量问题，由</w:t>
      </w:r>
      <w:r>
        <w:rPr>
          <w:sz w:val="21"/>
        </w:rPr>
        <w:t>乙方</w:t>
      </w:r>
      <w:r>
        <w:rPr>
          <w:sz w:val="21"/>
        </w:rPr>
        <w:t>负责解决，</w:t>
      </w:r>
      <w:r>
        <w:rPr>
          <w:sz w:val="21"/>
        </w:rPr>
        <w:t>甲方</w:t>
      </w:r>
      <w:r>
        <w:rPr>
          <w:sz w:val="21"/>
        </w:rPr>
        <w:t>应支付相应的费用。提供</w:t>
      </w:r>
      <w:r>
        <w:rPr>
          <w:sz w:val="21"/>
        </w:rPr>
        <w:t>7</w:t>
      </w:r>
      <w:r>
        <w:rPr>
          <w:sz w:val="21"/>
        </w:rPr>
        <w:t>×</w:t>
      </w:r>
      <w:r>
        <w:rPr>
          <w:sz w:val="21"/>
        </w:rPr>
        <w:t>24</w:t>
      </w:r>
      <w:r>
        <w:rPr>
          <w:sz w:val="21"/>
        </w:rPr>
        <w:t>小时的实时技术支持，</w:t>
      </w:r>
      <w:r>
        <w:rPr>
          <w:sz w:val="21"/>
        </w:rPr>
        <w:t>1</w:t>
      </w:r>
      <w:r>
        <w:rPr>
          <w:sz w:val="21"/>
        </w:rPr>
        <w:t>小时内响应，</w:t>
      </w:r>
      <w:r>
        <w:rPr>
          <w:sz w:val="21"/>
        </w:rPr>
        <w:t>4</w:t>
      </w:r>
      <w:r>
        <w:rPr>
          <w:sz w:val="21"/>
        </w:rPr>
        <w:t>小时内到达现场，</w:t>
      </w:r>
      <w:r>
        <w:rPr>
          <w:sz w:val="21"/>
        </w:rPr>
        <w:t>48</w:t>
      </w:r>
      <w:r>
        <w:rPr>
          <w:sz w:val="21"/>
        </w:rPr>
        <w:t>小时内处理完毕。若在</w:t>
      </w:r>
      <w:r>
        <w:rPr>
          <w:sz w:val="21"/>
        </w:rPr>
        <w:t>48</w:t>
      </w:r>
      <w:r>
        <w:rPr>
          <w:sz w:val="21"/>
        </w:rPr>
        <w:t>小时内仍未能有效解决，乙方须免费提供</w:t>
      </w:r>
      <w:r>
        <w:rPr>
          <w:sz w:val="21"/>
        </w:rPr>
        <w:t>相同功能档次</w:t>
      </w:r>
      <w:r>
        <w:rPr>
          <w:sz w:val="21"/>
        </w:rPr>
        <w:t>的设备予甲方临时使用。</w:t>
      </w:r>
    </w:p>
    <w:p>
      <w:pPr>
        <w:pStyle w:val="null3"/>
        <w:ind w:firstLine="480"/>
      </w:pPr>
      <w:r>
        <w:rPr>
          <w:sz w:val="21"/>
        </w:rPr>
        <w:t>3.</w:t>
      </w:r>
      <w:r>
        <w:rPr>
          <w:sz w:val="21"/>
        </w:rPr>
        <w:t>提供应用软件系统扩充，升级方面的技术支持服务。</w:t>
      </w:r>
    </w:p>
    <w:p>
      <w:pPr>
        <w:pStyle w:val="null3"/>
        <w:ind w:firstLine="480"/>
      </w:pPr>
      <w:r>
        <w:rPr>
          <w:sz w:val="21"/>
        </w:rPr>
        <w:t>4.</w:t>
      </w:r>
      <w:r>
        <w:rPr>
          <w:sz w:val="21"/>
        </w:rPr>
        <w:t>在实施及免费维护期内，应满足所提供软件的功能模块客户化需求。</w:t>
      </w:r>
    </w:p>
    <w:p>
      <w:pPr>
        <w:pStyle w:val="null3"/>
        <w:ind w:firstLine="480"/>
      </w:pPr>
      <w:r>
        <w:rPr>
          <w:sz w:val="21"/>
        </w:rPr>
        <w:t>七、</w:t>
      </w:r>
      <w:r>
        <w:rPr>
          <w:sz w:val="21"/>
        </w:rPr>
        <w:t>安装、调试、验收标准</w:t>
      </w:r>
    </w:p>
    <w:p>
      <w:pPr>
        <w:pStyle w:val="null3"/>
        <w:ind w:firstLine="480"/>
      </w:pPr>
      <w:r>
        <w:rPr>
          <w:sz w:val="21"/>
        </w:rPr>
        <w:t>1.</w:t>
      </w:r>
      <w:r>
        <w:rPr>
          <w:sz w:val="21"/>
        </w:rPr>
        <w:t>乙方</w:t>
      </w:r>
      <w:r>
        <w:rPr>
          <w:sz w:val="21"/>
        </w:rPr>
        <w:t>必须依照</w:t>
      </w:r>
      <w:r>
        <w:rPr>
          <w:sz w:val="21"/>
        </w:rPr>
        <w:t>磋商</w:t>
      </w:r>
      <w:r>
        <w:rPr>
          <w:sz w:val="21"/>
        </w:rPr>
        <w:t>文件的要求和</w:t>
      </w:r>
      <w:r>
        <w:rPr>
          <w:sz w:val="21"/>
        </w:rPr>
        <w:t>响应</w:t>
      </w:r>
      <w:r>
        <w:rPr>
          <w:sz w:val="21"/>
        </w:rPr>
        <w:t>文件的承诺，将设备、系统安装并调试至正常运行的最佳状态</w:t>
      </w:r>
      <w:r>
        <w:rPr>
          <w:sz w:val="21"/>
        </w:rPr>
        <w:t>且达到相关规范要求和标准</w:t>
      </w:r>
      <w:r>
        <w:rPr>
          <w:sz w:val="21"/>
        </w:rPr>
        <w:t>。</w:t>
      </w:r>
      <w:r>
        <w:rPr>
          <w:sz w:val="21"/>
        </w:rPr>
        <w:t>如果合同设备运输和安装调试过程中因事故造成货物短缺、损坏，</w:t>
      </w:r>
      <w:r>
        <w:rPr>
          <w:sz w:val="21"/>
        </w:rPr>
        <w:t>乙方</w:t>
      </w:r>
      <w:r>
        <w:rPr>
          <w:sz w:val="21"/>
        </w:rPr>
        <w:t>应在</w:t>
      </w:r>
      <w:r>
        <w:rPr>
          <w:sz w:val="21"/>
        </w:rPr>
        <w:t>7</w:t>
      </w:r>
      <w:r>
        <w:rPr>
          <w:sz w:val="21"/>
        </w:rPr>
        <w:t>个</w:t>
      </w:r>
      <w:r>
        <w:rPr>
          <w:sz w:val="21"/>
        </w:rPr>
        <w:t>日历日内</w:t>
      </w:r>
      <w:r>
        <w:rPr>
          <w:sz w:val="21"/>
        </w:rPr>
        <w:t>完成换货，以保证合同设备安装调试的成功完成。换货的相关费用由</w:t>
      </w:r>
      <w:r>
        <w:rPr>
          <w:sz w:val="21"/>
        </w:rPr>
        <w:t>乙方</w:t>
      </w:r>
      <w:r>
        <w:rPr>
          <w:sz w:val="21"/>
        </w:rPr>
        <w:t>承担。</w:t>
      </w:r>
    </w:p>
    <w:p>
      <w:pPr>
        <w:pStyle w:val="null3"/>
        <w:ind w:firstLine="480"/>
      </w:pPr>
      <w:r>
        <w:rPr>
          <w:sz w:val="21"/>
        </w:rPr>
        <w:t>2.</w:t>
      </w:r>
      <w:r>
        <w:rPr>
          <w:sz w:val="21"/>
        </w:rPr>
        <w:t>货物若有国家标准按照国家标准验收，若无国家标准按行业标准验收</w:t>
      </w:r>
      <w:r>
        <w:rPr>
          <w:sz w:val="21"/>
        </w:rPr>
        <w:t>。</w:t>
      </w:r>
    </w:p>
    <w:p>
      <w:pPr>
        <w:pStyle w:val="null3"/>
        <w:ind w:firstLine="480"/>
      </w:pPr>
      <w:r>
        <w:rPr>
          <w:sz w:val="21"/>
        </w:rPr>
        <w:t>3.</w:t>
      </w:r>
      <w:r>
        <w:rPr>
          <w:sz w:val="21"/>
        </w:rPr>
        <w:t>为</w:t>
      </w:r>
      <w:r>
        <w:rPr>
          <w:sz w:val="21"/>
        </w:rPr>
        <w:t>保证项目质量，</w:t>
      </w:r>
      <w:r>
        <w:rPr>
          <w:sz w:val="21"/>
        </w:rPr>
        <w:t>甲方</w:t>
      </w:r>
      <w:r>
        <w:rPr>
          <w:sz w:val="21"/>
        </w:rPr>
        <w:t>有权在项目实施过程中对</w:t>
      </w:r>
      <w:r>
        <w:rPr>
          <w:sz w:val="21"/>
        </w:rPr>
        <w:t>乙方</w:t>
      </w:r>
      <w:r>
        <w:rPr>
          <w:sz w:val="21"/>
        </w:rPr>
        <w:t>的施工</w:t>
      </w:r>
      <w:r>
        <w:rPr>
          <w:sz w:val="21"/>
        </w:rPr>
        <w:t>、安装等</w:t>
      </w:r>
      <w:r>
        <w:rPr>
          <w:sz w:val="21"/>
        </w:rPr>
        <w:t>工作进行监督，组织审定项目实施进度计划，对整个项目的服务内容进行核准认定，共同对建设</w:t>
      </w:r>
      <w:r>
        <w:rPr>
          <w:sz w:val="21"/>
        </w:rPr>
        <w:t>工作</w:t>
      </w:r>
      <w:r>
        <w:rPr>
          <w:sz w:val="21"/>
        </w:rPr>
        <w:t>进行各项测试直至验收完成。</w:t>
      </w:r>
    </w:p>
    <w:p>
      <w:pPr>
        <w:pStyle w:val="null3"/>
        <w:ind w:firstLine="480"/>
      </w:pPr>
      <w:r>
        <w:rPr>
          <w:sz w:val="21"/>
        </w:rPr>
        <w:t>4.</w:t>
      </w:r>
      <w:r>
        <w:rPr>
          <w:sz w:val="21"/>
        </w:rPr>
        <w:t>乙方</w:t>
      </w:r>
      <w:r>
        <w:rPr>
          <w:sz w:val="21"/>
        </w:rPr>
        <w:t>应根据系统设计方案提出验收方案和验收文档清单，用户可根据合同、需求说明书的有关规定对验收规范和内容进行修改和补充，经双方确认后形成验收文件作为验收依据。</w:t>
      </w:r>
    </w:p>
    <w:p>
      <w:pPr>
        <w:pStyle w:val="null3"/>
        <w:ind w:firstLine="480"/>
      </w:pPr>
      <w:r>
        <w:rPr>
          <w:sz w:val="21"/>
        </w:rPr>
        <w:t>5.</w:t>
      </w:r>
      <w:r>
        <w:rPr>
          <w:sz w:val="21"/>
        </w:rPr>
        <w:t>甲方</w:t>
      </w:r>
      <w:r>
        <w:rPr>
          <w:sz w:val="21"/>
        </w:rPr>
        <w:t>组成验收小组按国家有关规定、规范</w:t>
      </w:r>
      <w:r>
        <w:rPr>
          <w:sz w:val="21"/>
        </w:rPr>
        <w:t>及验收文件</w:t>
      </w:r>
      <w:r>
        <w:rPr>
          <w:sz w:val="21"/>
        </w:rPr>
        <w:t>进行验收，邀请相关的专业人员或机构</w:t>
      </w:r>
      <w:r>
        <w:rPr>
          <w:sz w:val="21"/>
        </w:rPr>
        <w:t>进行</w:t>
      </w:r>
      <w:r>
        <w:rPr>
          <w:sz w:val="21"/>
        </w:rPr>
        <w:t>验收。因货物质量问题发生争议时，由本地质量技术监督部门鉴定。货物符合质量技术标准的，鉴定费由</w:t>
      </w:r>
      <w:r>
        <w:rPr>
          <w:sz w:val="21"/>
        </w:rPr>
        <w:t>甲方</w:t>
      </w:r>
      <w:r>
        <w:rPr>
          <w:sz w:val="21"/>
        </w:rPr>
        <w:t>承担；否则鉴定费由</w:t>
      </w:r>
      <w:r>
        <w:rPr>
          <w:sz w:val="21"/>
        </w:rPr>
        <w:t>乙方</w:t>
      </w:r>
      <w:r>
        <w:rPr>
          <w:sz w:val="21"/>
        </w:rPr>
        <w:t>承担。</w:t>
      </w:r>
    </w:p>
    <w:p>
      <w:pPr>
        <w:pStyle w:val="null3"/>
        <w:ind w:firstLine="480"/>
      </w:pPr>
      <w:r>
        <w:rPr>
          <w:sz w:val="21"/>
        </w:rPr>
        <w:t>6.</w:t>
      </w:r>
      <w:r>
        <w:rPr>
          <w:sz w:val="21"/>
        </w:rPr>
        <w:t>乙方</w:t>
      </w:r>
      <w:r>
        <w:rPr>
          <w:sz w:val="21"/>
        </w:rPr>
        <w:t>负责在验收前将运行稳定可靠的安装程序以及全部相关的设计、安装、测试、验收报告等文档汇集成册交付用户。</w:t>
      </w:r>
    </w:p>
    <w:p>
      <w:pPr>
        <w:pStyle w:val="null3"/>
        <w:ind w:firstLine="480"/>
      </w:pPr>
      <w:r>
        <w:rPr>
          <w:sz w:val="21"/>
        </w:rPr>
        <w:t>九、违约责任与赔偿损失</w:t>
      </w:r>
    </w:p>
    <w:p>
      <w:pPr>
        <w:pStyle w:val="null3"/>
        <w:ind w:firstLine="480"/>
      </w:pPr>
      <w:r>
        <w:rPr>
          <w:sz w:val="21"/>
        </w:rPr>
        <w:t>1.</w:t>
      </w:r>
      <w:r>
        <w:rPr>
          <w:sz w:val="21"/>
        </w:rPr>
        <w:t>乙方交付的货物、工程</w:t>
      </w:r>
      <w:r>
        <w:rPr>
          <w:sz w:val="21"/>
        </w:rPr>
        <w:t>/</w:t>
      </w:r>
      <w:r>
        <w:rPr>
          <w:sz w:val="21"/>
        </w:rPr>
        <w:t>提供的服务不符合本合同规定的，甲方有权拒收，并且乙方须向甲方支付本合同总价</w:t>
      </w:r>
      <w:r>
        <w:rPr>
          <w:sz w:val="21"/>
        </w:rPr>
        <w:t>5%</w:t>
      </w:r>
      <w:r>
        <w:rPr>
          <w:sz w:val="21"/>
        </w:rPr>
        <w:t>的违约金。</w:t>
      </w:r>
    </w:p>
    <w:p>
      <w:pPr>
        <w:pStyle w:val="null3"/>
        <w:ind w:firstLine="480"/>
      </w:pPr>
      <w:r>
        <w:rPr>
          <w:sz w:val="21"/>
        </w:rPr>
        <w:t>2.</w:t>
      </w:r>
      <w:r>
        <w:rPr>
          <w:sz w:val="21"/>
        </w:rPr>
        <w:t>乙方未能按本合同规定的交货时间交付货物的</w:t>
      </w:r>
      <w:r>
        <w:rPr>
          <w:sz w:val="21"/>
        </w:rPr>
        <w:t>/</w:t>
      </w:r>
      <w:r>
        <w:rPr>
          <w:sz w:val="21"/>
        </w:rPr>
        <w:t>提供服务，从逾期之日起每日按本合同总价</w:t>
      </w:r>
      <w:r>
        <w:rPr>
          <w:sz w:val="21"/>
        </w:rPr>
        <w:t>3</w:t>
      </w:r>
      <w:r>
        <w:rPr>
          <w:sz w:val="21"/>
        </w:rPr>
        <w:t>‰的数额向甲方支付违约金；逾期半个月以上的，甲方有权终止合同，由此造成的甲方经济损失由乙方承担。</w:t>
      </w:r>
    </w:p>
    <w:p>
      <w:pPr>
        <w:pStyle w:val="null3"/>
        <w:ind w:firstLine="480"/>
      </w:pPr>
      <w:r>
        <w:rPr>
          <w:sz w:val="21"/>
        </w:rPr>
        <w:t>3.</w:t>
      </w:r>
      <w:r>
        <w:rPr>
          <w:sz w:val="21"/>
        </w:rPr>
        <w:t>甲方无正当理由拒收货物</w:t>
      </w:r>
      <w:r>
        <w:rPr>
          <w:sz w:val="21"/>
        </w:rPr>
        <w:t>/</w:t>
      </w:r>
      <w:r>
        <w:rPr>
          <w:sz w:val="21"/>
        </w:rPr>
        <w:t>接受服务，到期拒付货物</w:t>
      </w:r>
      <w:r>
        <w:rPr>
          <w:sz w:val="21"/>
        </w:rPr>
        <w:t>/</w:t>
      </w:r>
      <w:r>
        <w:rPr>
          <w:sz w:val="21"/>
        </w:rPr>
        <w:t>服务款项的，甲方向乙方偿付本合同总的</w:t>
      </w:r>
      <w:r>
        <w:rPr>
          <w:sz w:val="21"/>
        </w:rPr>
        <w:t>5%</w:t>
      </w:r>
      <w:r>
        <w:rPr>
          <w:sz w:val="21"/>
        </w:rPr>
        <w:t>的违约金。甲方人逾期付款，则每日按本合同总价的</w:t>
      </w:r>
      <w:r>
        <w:rPr>
          <w:sz w:val="21"/>
        </w:rPr>
        <w:t>3</w:t>
      </w:r>
      <w:r>
        <w:rPr>
          <w:sz w:val="21"/>
        </w:rPr>
        <w:t>‰向乙方偿付违约金。</w:t>
      </w:r>
    </w:p>
    <w:p>
      <w:pPr>
        <w:pStyle w:val="null3"/>
        <w:ind w:firstLine="480"/>
      </w:pPr>
      <w:r>
        <w:rPr>
          <w:sz w:val="21"/>
        </w:rPr>
        <w:t xml:space="preserve">4.   </w:t>
      </w:r>
      <w:r>
        <w:rPr>
          <w:sz w:val="21"/>
        </w:rPr>
        <w:t>对于因甲方原因导致变更、中止或者终止政府采购合同的，甲方应当依照以下合同约定对供应商受到的损失予以赔偿或者补偿：</w:t>
      </w:r>
    </w:p>
    <w:p>
      <w:pPr>
        <w:pStyle w:val="null3"/>
        <w:ind w:firstLine="480"/>
      </w:pPr>
      <w:r>
        <w:rPr/>
        <w:t xml:space="preserve">                                                       </w:t>
      </w:r>
    </w:p>
    <w:p>
      <w:pPr>
        <w:pStyle w:val="null3"/>
        <w:ind w:firstLine="480"/>
      </w:pPr>
      <w:r>
        <w:rPr>
          <w:sz w:val="21"/>
        </w:rPr>
        <w:t>5.</w:t>
      </w:r>
      <w:r>
        <w:rPr>
          <w:sz w:val="21"/>
        </w:rPr>
        <w:t>其它违约责任按《中华人民共和国民法典</w:t>
      </w:r>
      <w:r>
        <w:rPr>
          <w:sz w:val="21"/>
        </w:rPr>
        <w:t>(</w:t>
      </w:r>
      <w:r>
        <w:rPr>
          <w:sz w:val="21"/>
        </w:rPr>
        <w:t>合同编</w:t>
      </w:r>
      <w:r>
        <w:rPr>
          <w:sz w:val="21"/>
        </w:rPr>
        <w:t>)</w:t>
      </w:r>
      <w:r>
        <w:rPr>
          <w:sz w:val="21"/>
        </w:rPr>
        <w:t>》处理。</w:t>
      </w:r>
    </w:p>
    <w:p>
      <w:pPr>
        <w:pStyle w:val="null3"/>
        <w:ind w:firstLine="480"/>
      </w:pPr>
      <w:r>
        <w:rPr>
          <w:sz w:val="21"/>
        </w:rPr>
        <w:t>十、争议的解决</w:t>
      </w:r>
      <w:r>
        <w:rPr>
          <w:sz w:val="21"/>
        </w:rPr>
        <w:t xml:space="preserve">  </w:t>
      </w:r>
      <w:r>
        <w:rPr>
          <w:sz w:val="21"/>
        </w:rPr>
        <w:t>合同执行过程中发生的任何争议，如双方不能通过友好协商解决，按相关法律法规处理。</w:t>
      </w:r>
    </w:p>
    <w:p>
      <w:pPr>
        <w:pStyle w:val="null3"/>
        <w:ind w:firstLine="480"/>
      </w:pPr>
      <w:r>
        <w:rPr>
          <w:sz w:val="21"/>
        </w:rPr>
        <w:t>十一、不可抗力</w:t>
      </w:r>
    </w:p>
    <w:p>
      <w:pPr>
        <w:pStyle w:val="null3"/>
        <w:ind w:firstLine="480"/>
      </w:pPr>
      <w:r>
        <w:rPr>
          <w:sz w:val="21"/>
        </w:rPr>
        <w:t>1.</w:t>
      </w:r>
      <w:r>
        <w:rPr>
          <w:sz w:val="21"/>
        </w:rPr>
        <w:t>任何一方由于不可抗力原因不能履行合同时，应在不可抗力事件结束后</w:t>
      </w:r>
      <w:r>
        <w:rPr>
          <w:sz w:val="21"/>
        </w:rPr>
        <w:t>1</w:t>
      </w:r>
      <w:r>
        <w:rPr>
          <w:sz w:val="21"/>
        </w:rPr>
        <w:t>日内向对方通报，以减轻可能给对方造成的损失，在取得有关机构的不可抗力证明或双方谅解确认后，允许延期履行或修订合同，并根据情况可部分或全部免于承担违约责任。</w:t>
      </w:r>
    </w:p>
    <w:p>
      <w:pPr>
        <w:pStyle w:val="null3"/>
        <w:ind w:firstLine="480"/>
      </w:pPr>
      <w:r>
        <w:rPr>
          <w:sz w:val="21"/>
        </w:rPr>
        <w:t>十二、税费</w:t>
      </w:r>
    </w:p>
    <w:p>
      <w:pPr>
        <w:pStyle w:val="null3"/>
        <w:ind w:firstLine="480"/>
      </w:pPr>
      <w:r>
        <w:rPr>
          <w:sz w:val="21"/>
        </w:rPr>
        <w:t>1.</w:t>
      </w:r>
      <w:r>
        <w:rPr>
          <w:sz w:val="21"/>
        </w:rPr>
        <w:t>在中国境内、外发生的与本合同执行有关的一切税费均由乙方负担。</w:t>
      </w:r>
    </w:p>
    <w:p>
      <w:pPr>
        <w:pStyle w:val="null3"/>
        <w:ind w:firstLine="480"/>
      </w:pPr>
      <w:r>
        <w:rPr>
          <w:sz w:val="21"/>
        </w:rPr>
        <w:t>十三、</w:t>
      </w:r>
      <w:r>
        <w:rPr>
          <w:sz w:val="21"/>
        </w:rPr>
        <w:t>其它</w:t>
      </w:r>
    </w:p>
    <w:p>
      <w:pPr>
        <w:pStyle w:val="null3"/>
        <w:ind w:firstLine="480"/>
      </w:pPr>
      <w:r>
        <w:rPr>
          <w:sz w:val="21"/>
        </w:rPr>
        <w:t>1.</w:t>
      </w:r>
      <w:r>
        <w:rPr>
          <w:sz w:val="21"/>
        </w:rPr>
        <w:t>本合同所有附件、招标文件、投标文件、中标通知书均为合同的有效组成部分，与本合同具有同等法律效力。</w:t>
      </w:r>
    </w:p>
    <w:p>
      <w:pPr>
        <w:pStyle w:val="null3"/>
        <w:ind w:firstLine="480"/>
      </w:pPr>
      <w:r>
        <w:rPr>
          <w:sz w:val="21"/>
        </w:rPr>
        <w:t>2.</w:t>
      </w:r>
      <w:r>
        <w:rPr>
          <w:sz w:val="21"/>
        </w:rPr>
        <w:t>在执行本合同的过程中，所有经双方签署确认的文件（包括会议纪要、补充协议、往来信函）即成为本合同的有效组成部分。</w:t>
      </w:r>
    </w:p>
    <w:p>
      <w:pPr>
        <w:pStyle w:val="null3"/>
        <w:ind w:firstLine="480"/>
      </w:pPr>
      <w:r>
        <w:rPr>
          <w:sz w:val="21"/>
        </w:rPr>
        <w:t>3.</w:t>
      </w:r>
      <w:r>
        <w:rPr>
          <w:sz w:val="21"/>
        </w:rPr>
        <w:t>如一方地址、电话、传真号码有变更，应在变更当日内书面通知对方，否则，应承担相应责任。</w:t>
      </w:r>
    </w:p>
    <w:p>
      <w:pPr>
        <w:pStyle w:val="null3"/>
        <w:ind w:firstLine="480"/>
      </w:pPr>
      <w:r>
        <w:rPr>
          <w:sz w:val="21"/>
        </w:rPr>
        <w:t>4.</w:t>
      </w:r>
      <w:r>
        <w:rPr>
          <w:sz w:val="21"/>
        </w:rPr>
        <w:t>除甲方事先书面同意外，乙方不得部分或全部转让其应履行的合同项下的义务。</w:t>
      </w:r>
    </w:p>
    <w:p>
      <w:pPr>
        <w:pStyle w:val="null3"/>
        <w:ind w:firstLine="480"/>
      </w:pPr>
      <w:r>
        <w:rPr>
          <w:sz w:val="21"/>
        </w:rPr>
        <w:t>十四、</w:t>
      </w:r>
      <w:r>
        <w:rPr>
          <w:sz w:val="21"/>
        </w:rPr>
        <w:t xml:space="preserve">     </w:t>
      </w:r>
      <w:r>
        <w:rPr>
          <w:sz w:val="21"/>
        </w:rPr>
        <w:t>合同生效</w:t>
      </w:r>
    </w:p>
    <w:p>
      <w:pPr>
        <w:pStyle w:val="null3"/>
        <w:ind w:firstLine="480"/>
      </w:pPr>
      <w:r>
        <w:rPr>
          <w:sz w:val="21"/>
        </w:rPr>
        <w:t>1.</w:t>
      </w:r>
      <w:r>
        <w:rPr>
          <w:sz w:val="21"/>
        </w:rPr>
        <w:t>本合同在甲乙双方法人代表或其授权代表签字盖章后生效。</w:t>
      </w:r>
    </w:p>
    <w:p>
      <w:pPr>
        <w:pStyle w:val="null3"/>
        <w:ind w:firstLine="480"/>
      </w:pPr>
      <w:r>
        <w:rPr>
          <w:sz w:val="21"/>
        </w:rPr>
        <w:t>2.</w:t>
      </w:r>
      <w:r>
        <w:rPr>
          <w:sz w:val="21"/>
        </w:rPr>
        <w:t>合同一式   份。</w:t>
      </w:r>
    </w:p>
    <w:p>
      <w:pPr>
        <w:pStyle w:val="null3"/>
        <w:ind w:firstLine="480"/>
      </w:pPr>
      <w:r>
        <w:rPr/>
        <w:t xml:space="preserve"> </w:t>
      </w:r>
    </w:p>
    <w:p>
      <w:pPr>
        <w:pStyle w:val="null3"/>
        <w:ind w:firstLine="480"/>
      </w:pPr>
      <w:r>
        <w:rPr>
          <w:sz w:val="21"/>
        </w:rPr>
        <w:t>甲方（盖章）：乙方（盖章）：</w:t>
      </w:r>
    </w:p>
    <w:p>
      <w:pPr>
        <w:pStyle w:val="null3"/>
        <w:ind w:firstLine="480"/>
      </w:pPr>
      <w:r>
        <w:rPr>
          <w:sz w:val="21"/>
        </w:rPr>
        <w:t>代表：代表：</w:t>
      </w:r>
    </w:p>
    <w:p>
      <w:pPr>
        <w:pStyle w:val="null3"/>
        <w:ind w:firstLine="480"/>
      </w:pPr>
      <w:r>
        <w:rPr>
          <w:sz w:val="21"/>
        </w:rPr>
        <w:t>签订地点：</w:t>
      </w:r>
    </w:p>
    <w:p>
      <w:pPr>
        <w:pStyle w:val="null3"/>
        <w:ind w:firstLine="480"/>
      </w:pPr>
      <w:r>
        <w:rPr>
          <w:sz w:val="21"/>
        </w:rPr>
        <w:t>签订日期：　　　年　　月　　日签订日期：　　　年　　月　　日</w:t>
      </w:r>
    </w:p>
    <w:p>
      <w:pPr>
        <w:pStyle w:val="null3"/>
        <w:ind w:firstLine="480"/>
      </w:pPr>
      <w:r>
        <w:rPr>
          <w:sz w:val="21"/>
        </w:rPr>
        <w:t>开户名称：</w:t>
      </w:r>
    </w:p>
    <w:p>
      <w:pPr>
        <w:pStyle w:val="null3"/>
        <w:ind w:firstLine="480"/>
      </w:pPr>
      <w:r>
        <w:rPr>
          <w:sz w:val="21"/>
        </w:rPr>
        <w:t>银行帐号：</w:t>
      </w:r>
    </w:p>
    <w:p>
      <w:pPr>
        <w:pStyle w:val="null3"/>
        <w:ind w:firstLine="480"/>
      </w:pPr>
      <w:r>
        <w:rPr>
          <w:sz w:val="21"/>
        </w:rPr>
        <w:t>开</w:t>
      </w:r>
      <w:r>
        <w:rPr>
          <w:sz w:val="21"/>
        </w:rPr>
        <w:t>户</w:t>
      </w:r>
      <w:r>
        <w:rPr>
          <w:sz w:val="21"/>
        </w:rPr>
        <w:t>行：</w:t>
      </w:r>
    </w:p>
    <w:p>
      <w:pPr>
        <w:pStyle w:val="null3"/>
        <w:ind w:firstLine="480"/>
      </w:pPr>
      <w:r>
        <w:rPr/>
        <w:t xml:space="preserve">  </w:t>
      </w:r>
    </w:p>
    <w:p>
      <w:pPr>
        <w:pStyle w:val="null3"/>
        <w:jc w:val="center"/>
        <w:outlineLvl w:val="1"/>
      </w:pPr>
      <w:r>
        <w:rPr>
          <w:sz w:val="36"/>
          <w:b/>
        </w:rPr>
        <w:t>第六章 响应文件格式与要求</w:t>
      </w:r>
    </w:p>
    <w:p>
      <w:pPr>
        <w:pStyle w:val="null3"/>
        <w:ind w:firstLine="480"/>
      </w:pPr>
      <w:r>
        <w:rPr/>
        <w:t>供应商应提交证明其有资格参加磋商和成交后有能力履行合同的相关文件，并作为其响应文件的一部分，所有文件必须真实可靠、不得伪造，否则将按相关规定予以处罚。</w:t>
      </w:r>
    </w:p>
    <w:p>
      <w:pPr>
        <w:pStyle w:val="null3"/>
        <w:ind w:firstLine="480"/>
      </w:pPr>
      <w:r>
        <w:rPr/>
        <w:t>1.法人或者其他组织的营业执照等证明文件，自然人的身份证明：</w:t>
      </w:r>
    </w:p>
    <w:p>
      <w:pPr>
        <w:pStyle w:val="null3"/>
        <w:ind w:firstLine="480"/>
      </w:pPr>
      <w:r>
        <w:rPr/>
        <w:t xml:space="preserve"> 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供应商是企业（包括合伙企业），要提供在工商部门注册的有效“企业法人营业执照”或“营业执照”；如供应商是事业单位，要提供有效的“事业单位法人证书”；供应商是非企业专业服务机构的，如律师事务所，会计师事务所要提供执业许可证等证明文件；如供应商是个体工商户，要提供有效的“个体工商户营业执照”；如供应商是自然人，要提供有效的自然人身份证明。</w:t>
      </w:r>
    </w:p>
    <w:p>
      <w:pPr>
        <w:pStyle w:val="null3"/>
        <w:ind w:firstLine="480"/>
      </w:pPr>
      <w:r>
        <w:rPr/>
        <w:t xml:space="preserve"> 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pStyle w:val="null3"/>
        <w:ind w:firstLine="480"/>
      </w:pPr>
      <w:r>
        <w:rPr/>
        <w:t>2.财务状况报告，依法缴纳税收和社会保障资金的相关材料（详见资格性审查表要求）</w:t>
      </w:r>
    </w:p>
    <w:p>
      <w:pPr>
        <w:pStyle w:val="null3"/>
        <w:ind w:firstLine="480"/>
      </w:pPr>
      <w:r>
        <w:rPr/>
        <w:t>3.具有履行合同所必需的设备和专业技术能力的声明。</w:t>
      </w:r>
    </w:p>
    <w:p>
      <w:pPr>
        <w:pStyle w:val="null3"/>
        <w:ind w:firstLine="480"/>
      </w:pPr>
      <w:r>
        <w:rPr/>
        <w:t>4.供应商参加政府采购前三年内在经营活动中没有重大违法记录声明函。</w:t>
      </w:r>
    </w:p>
    <w:p>
      <w:pPr>
        <w:pStyle w:val="null3"/>
        <w:ind w:firstLine="480"/>
      </w:pPr>
      <w:r>
        <w:rPr/>
        <w:t>5.信用记录查询</w:t>
      </w:r>
    </w:p>
    <w:p>
      <w:pPr>
        <w:pStyle w:val="null3"/>
        <w:ind w:firstLine="480"/>
      </w:pPr>
      <w:r>
        <w:rPr/>
        <w:t>（1）查询渠道：通过“信用中国”网站(www.creditchina.gov.cn)和“中国政府采购网”（www.ccgp.gov.cn）进行查询；</w:t>
      </w:r>
    </w:p>
    <w:p>
      <w:pPr>
        <w:pStyle w:val="null3"/>
        <w:ind w:firstLine="480"/>
      </w:pPr>
      <w:r>
        <w:rPr/>
        <w:t>（2）查询截止时点：提交响应文件截止日当天；</w:t>
      </w:r>
    </w:p>
    <w:p>
      <w:pPr>
        <w:pStyle w:val="null3"/>
        <w:ind w:firstLine="480"/>
      </w:pPr>
      <w:r>
        <w:rPr/>
        <w:t>（3）查询记录：对列入失信被执行人、重大税收违法案件当事人名单、政府采购严重违法失信行为记录名单、信用报告进行查询；</w:t>
      </w:r>
    </w:p>
    <w:p>
      <w:pPr>
        <w:pStyle w:val="null3"/>
        <w:ind w:firstLine="480"/>
      </w:pPr>
      <w:r>
        <w:rPr/>
        <w:t xml:space="preserve"> 采购人或采购代理机构应当按照查询渠道、查询时间节点、查询记录内容进行查询，并存档。对信用记录查询结果中显示供应商被列入失信被执行人、重大税收违法案件当事人名单、政府采购严重违法失信行为记录名单的供应商作无效响应处理。</w:t>
      </w:r>
    </w:p>
    <w:p>
      <w:pPr>
        <w:pStyle w:val="null3"/>
        <w:ind w:firstLine="480"/>
      </w:pPr>
      <w:r>
        <w:rPr/>
        <w:t>6. 按照磋商文件要求，供应商应当提交的资格、资信证明文件。</w:t>
      </w:r>
    </w:p>
    <w:p>
      <w:pPr>
        <w:pStyle w:val="null3"/>
      </w:pPr>
      <w:r>
        <w:rPr/>
        <w:t xml:space="preserve">  </w:t>
      </w:r>
    </w:p>
    <w:p>
      <w:pPr>
        <w:pStyle w:val="null3"/>
        <w:jc w:val="center"/>
        <w:outlineLvl w:val="0"/>
      </w:pPr>
      <w:r>
        <w:rPr>
          <w:sz w:val="48"/>
          <w:b/>
        </w:rPr>
        <w:t>响应文件封面</w:t>
      </w:r>
    </w:p>
    <w:p>
      <w:pPr>
        <w:pStyle w:val="null3"/>
        <w:outlineLvl w:val="0"/>
      </w:pPr>
      <w:r>
        <w:rPr>
          <w:sz w:val="48"/>
          <w:b/>
        </w:rPr>
        <w:t>（项目名称）</w:t>
      </w:r>
    </w:p>
    <w:p>
      <w:pPr>
        <w:pStyle w:val="null3"/>
        <w:jc w:val="center"/>
        <w:outlineLvl w:val="0"/>
      </w:pPr>
      <w:r>
        <w:rPr>
          <w:sz w:val="48"/>
          <w:b/>
        </w:rPr>
        <w:t xml:space="preserve"> 响应文件封面</w:t>
      </w:r>
    </w:p>
    <w:p>
      <w:pPr>
        <w:pStyle w:val="null3"/>
        <w:jc w:val="center"/>
        <w:outlineLvl w:val="3"/>
      </w:pPr>
      <w:r>
        <w:rPr>
          <w:sz w:val="24"/>
          <w:b/>
        </w:rPr>
        <w:t xml:space="preserve"> （正本/副本）</w:t>
      </w:r>
    </w:p>
    <w:p>
      <w:pPr>
        <w:pStyle w:val="null3"/>
        <w:outlineLvl w:val="3"/>
      </w:pPr>
      <w:r>
        <w:rPr>
          <w:sz w:val="24"/>
          <w:b/>
        </w:rPr>
        <w:t>采购计划编号：</w:t>
      </w:r>
      <w:r>
        <w:rPr>
          <w:sz w:val="24"/>
          <w:b/>
        </w:rPr>
        <w:t>442000003-2024-00790</w:t>
      </w:r>
    </w:p>
    <w:p>
      <w:pPr>
        <w:pStyle w:val="null3"/>
        <w:jc w:val="center"/>
        <w:outlineLvl w:val="3"/>
      </w:pPr>
      <w:r>
        <w:rPr>
          <w:sz w:val="24"/>
          <w:b/>
        </w:rPr>
        <w:t>采购项目编号：</w:t>
      </w:r>
      <w:r>
        <w:rPr>
          <w:sz w:val="24"/>
          <w:b/>
        </w:rPr>
        <w:t>ZSJD24ZC0074</w:t>
      </w:r>
    </w:p>
    <w:p>
      <w:pPr>
        <w:pStyle w:val="null3"/>
        <w:jc w:val="center"/>
        <w:outlineLvl w:val="3"/>
      </w:pPr>
      <w:r>
        <w:rPr>
          <w:sz w:val="24"/>
          <w:b/>
        </w:rPr>
        <w:t>所响应采购包：第 包</w:t>
      </w:r>
    </w:p>
    <w:p>
      <w:pPr>
        <w:pStyle w:val="null3"/>
        <w:outlineLvl w:val="3"/>
      </w:pPr>
      <w:r>
        <w:rPr>
          <w:sz w:val="24"/>
          <w:b/>
        </w:rPr>
        <w:t>（供应商名称）</w:t>
      </w:r>
    </w:p>
    <w:p>
      <w:pPr>
        <w:pStyle w:val="null3"/>
        <w:jc w:val="center"/>
        <w:outlineLvl w:val="3"/>
      </w:pPr>
      <w:r>
        <w:rPr>
          <w:sz w:val="24"/>
          <w:b/>
        </w:rPr>
        <w:t xml:space="preserve"> 年 月 日</w:t>
      </w:r>
    </w:p>
    <w:p>
      <w:pPr>
        <w:pStyle w:val="null3"/>
        <w:ind w:firstLine="480"/>
      </w:pPr>
      <w:r>
        <w:rPr/>
        <w:t xml:space="preserve">  </w:t>
      </w:r>
    </w:p>
    <w:p>
      <w:pPr>
        <w:pStyle w:val="null3"/>
        <w:jc w:val="center"/>
        <w:outlineLvl w:val="3"/>
      </w:pPr>
      <w:r>
        <w:rPr>
          <w:sz w:val="24"/>
          <w:b/>
        </w:rPr>
        <w:t>响应文件目录</w:t>
      </w:r>
    </w:p>
    <w:p>
      <w:pPr>
        <w:pStyle w:val="null3"/>
        <w:ind w:firstLine="480"/>
      </w:pPr>
      <w:r>
        <w:rPr/>
        <w:t>一、响应承诺函</w:t>
      </w:r>
    </w:p>
    <w:p>
      <w:pPr>
        <w:pStyle w:val="null3"/>
        <w:ind w:firstLine="480"/>
      </w:pPr>
      <w:r>
        <w:rPr/>
        <w:t>二、首轮报价表</w:t>
      </w:r>
    </w:p>
    <w:p>
      <w:pPr>
        <w:pStyle w:val="null3"/>
        <w:ind w:firstLine="480"/>
      </w:pPr>
      <w:r>
        <w:rPr/>
        <w:t>三、分项报价表</w:t>
      </w:r>
    </w:p>
    <w:p>
      <w:pPr>
        <w:pStyle w:val="null3"/>
        <w:ind w:firstLine="480"/>
      </w:pPr>
      <w:r>
        <w:rPr/>
        <w:t>四、政策适用性说明</w:t>
      </w:r>
    </w:p>
    <w:p>
      <w:pPr>
        <w:pStyle w:val="null3"/>
        <w:ind w:firstLine="480"/>
      </w:pPr>
      <w:r>
        <w:rPr/>
        <w:t>五、法定代表人证明书</w:t>
      </w:r>
    </w:p>
    <w:p>
      <w:pPr>
        <w:pStyle w:val="null3"/>
        <w:ind w:firstLine="480"/>
      </w:pPr>
      <w:r>
        <w:rPr/>
        <w:t>六、法定代表人授权书</w:t>
      </w:r>
    </w:p>
    <w:p>
      <w:pPr>
        <w:pStyle w:val="null3"/>
        <w:ind w:firstLine="480"/>
      </w:pPr>
      <w:r>
        <w:rPr/>
        <w:t>七、响应保证金</w:t>
      </w:r>
    </w:p>
    <w:p>
      <w:pPr>
        <w:pStyle w:val="null3"/>
        <w:ind w:firstLine="480"/>
      </w:pPr>
      <w:r>
        <w:rPr/>
        <w:t>八、提供具有独立承担民事责任的能力的证明材料</w:t>
      </w:r>
    </w:p>
    <w:p>
      <w:pPr>
        <w:pStyle w:val="null3"/>
        <w:ind w:firstLine="480"/>
      </w:pPr>
      <w:r>
        <w:rPr/>
        <w:t>九、资格性审查要求的其他资质证明文件</w:t>
      </w:r>
    </w:p>
    <w:p>
      <w:pPr>
        <w:pStyle w:val="null3"/>
        <w:ind w:firstLine="480"/>
      </w:pPr>
      <w:r>
        <w:rPr/>
        <w:t>十、承诺函</w:t>
      </w:r>
    </w:p>
    <w:p>
      <w:pPr>
        <w:pStyle w:val="null3"/>
        <w:ind w:firstLine="480"/>
      </w:pPr>
      <w:r>
        <w:rPr/>
        <w:t>十一、中小企业声明函</w:t>
      </w:r>
    </w:p>
    <w:p>
      <w:pPr>
        <w:pStyle w:val="null3"/>
        <w:ind w:firstLine="480"/>
      </w:pPr>
      <w:r>
        <w:rPr/>
        <w:t>十二、监狱企业</w:t>
      </w:r>
    </w:p>
    <w:p>
      <w:pPr>
        <w:pStyle w:val="null3"/>
        <w:ind w:firstLine="480"/>
      </w:pPr>
      <w:r>
        <w:rPr/>
        <w:t>十三、残疾人福利性单位声明函</w:t>
      </w:r>
    </w:p>
    <w:p>
      <w:pPr>
        <w:pStyle w:val="null3"/>
        <w:ind w:firstLine="480"/>
      </w:pPr>
      <w:r>
        <w:rPr/>
        <w:t>十四、联合体共同响应协议书</w:t>
      </w:r>
    </w:p>
    <w:p>
      <w:pPr>
        <w:pStyle w:val="null3"/>
        <w:ind w:firstLine="480"/>
      </w:pPr>
      <w:r>
        <w:rPr/>
        <w:t>十五、供应商业绩情况表</w:t>
      </w:r>
    </w:p>
    <w:p>
      <w:pPr>
        <w:pStyle w:val="null3"/>
        <w:ind w:firstLine="480"/>
      </w:pPr>
      <w:r>
        <w:rPr/>
        <w:t>十六、技术和服务要求响应表</w:t>
      </w:r>
    </w:p>
    <w:p>
      <w:pPr>
        <w:pStyle w:val="null3"/>
        <w:ind w:firstLine="480"/>
      </w:pPr>
      <w:r>
        <w:rPr/>
        <w:t>十七、商务条件响应表</w:t>
      </w:r>
    </w:p>
    <w:p>
      <w:pPr>
        <w:pStyle w:val="null3"/>
        <w:ind w:firstLine="480"/>
      </w:pPr>
      <w:r>
        <w:rPr/>
        <w:t>十八、履约进度计划表</w:t>
      </w:r>
    </w:p>
    <w:p>
      <w:pPr>
        <w:pStyle w:val="null3"/>
        <w:ind w:firstLine="480"/>
      </w:pPr>
      <w:r>
        <w:rPr/>
        <w:t>十九、各类证明材料</w:t>
      </w:r>
    </w:p>
    <w:p>
      <w:pPr>
        <w:pStyle w:val="null3"/>
        <w:ind w:firstLine="480"/>
      </w:pPr>
      <w:r>
        <w:rPr/>
        <w:t>二十、采购代理服务费支付承诺书</w:t>
      </w:r>
    </w:p>
    <w:p>
      <w:pPr>
        <w:pStyle w:val="null3"/>
        <w:ind w:firstLine="480"/>
      </w:pPr>
      <w:r>
        <w:rPr/>
        <w:t>二十一、需要采购人提供的附加条件</w:t>
      </w:r>
    </w:p>
    <w:p>
      <w:pPr>
        <w:pStyle w:val="null3"/>
        <w:ind w:firstLine="480"/>
      </w:pPr>
      <w:r>
        <w:rPr/>
        <w:t>二十二、询问函、质疑函、投诉书格式</w:t>
      </w:r>
    </w:p>
    <w:p>
      <w:pPr>
        <w:pStyle w:val="null3"/>
        <w:ind w:firstLine="480"/>
      </w:pPr>
      <w:r>
        <w:rPr/>
        <w:t>二十三、项目实施方案、质量保证及售后服务承诺等</w:t>
      </w:r>
    </w:p>
    <w:p>
      <w:pPr>
        <w:pStyle w:val="null3"/>
        <w:ind w:firstLine="480"/>
      </w:pPr>
      <w:r>
        <w:rPr/>
        <w:t>二十四、附件</w:t>
      </w:r>
    </w:p>
    <w:p>
      <w:pPr>
        <w:pStyle w:val="null3"/>
        <w:ind w:firstLine="480"/>
      </w:pPr>
      <w:r>
        <w:rPr/>
        <w:t>二十五、政府采购履约担保函、采购合同履约保险凭证</w:t>
      </w:r>
    </w:p>
    <w:p>
      <w:pPr>
        <w:pStyle w:val="null3"/>
        <w:ind w:firstLine="480"/>
      </w:pPr>
      <w:r>
        <w:rPr/>
        <w:t xml:space="preserve">  </w:t>
      </w:r>
    </w:p>
    <w:p>
      <w:pPr>
        <w:pStyle w:val="null3"/>
        <w:outlineLvl w:val="2"/>
      </w:pPr>
      <w:r>
        <w:rPr>
          <w:sz w:val="28"/>
          <w:b/>
        </w:rPr>
        <w:t>格式一：</w:t>
      </w:r>
    </w:p>
    <w:p>
      <w:pPr>
        <w:pStyle w:val="null3"/>
        <w:jc w:val="center"/>
        <w:outlineLvl w:val="3"/>
      </w:pPr>
      <w:r>
        <w:rPr>
          <w:sz w:val="24"/>
          <w:b/>
        </w:rPr>
        <w:t>响 应 承 诺 函</w:t>
      </w:r>
    </w:p>
    <w:p>
      <w:pPr>
        <w:pStyle w:val="null3"/>
        <w:ind w:firstLine="480"/>
      </w:pPr>
      <w:r>
        <w:rPr/>
        <w:t xml:space="preserve"> 致：</w:t>
      </w:r>
      <w:r>
        <w:rPr/>
        <w:t>广东省建东工程监理有限公司中山分公司</w:t>
      </w:r>
    </w:p>
    <w:p>
      <w:pPr>
        <w:pStyle w:val="null3"/>
        <w:ind w:firstLine="480"/>
      </w:pPr>
      <w:r>
        <w:rPr/>
        <w:t xml:space="preserve"> 你方组织的</w:t>
      </w:r>
      <w:r>
        <w:rPr>
          <w:u w:val="single"/>
        </w:rPr>
        <w:t>“</w:t>
      </w:r>
      <w:r>
        <w:rPr>
          <w:u w:val="single"/>
        </w:rPr>
        <w:t>民众街道多宝路段和阳光大道等路段违法抓拍系统及交通信号灯后台建设项目</w:t>
      </w:r>
      <w:r>
        <w:rPr>
          <w:u w:val="single"/>
        </w:rPr>
        <w:t>”</w:t>
      </w:r>
      <w:r>
        <w:rPr/>
        <w:t>项目的竞争性磋商[采购项目编号为：</w:t>
      </w:r>
      <w:r>
        <w:rPr>
          <w:u w:val="single"/>
        </w:rPr>
        <w:t>ZSJD24ZC0074</w:t>
      </w:r>
      <w:r>
        <w:rPr/>
        <w:t>]，我方愿参与响应。</w:t>
      </w:r>
    </w:p>
    <w:p>
      <w:pPr>
        <w:pStyle w:val="null3"/>
        <w:ind w:firstLine="480"/>
      </w:pPr>
      <w:r>
        <w:rPr/>
        <w:t>我方确认收到贵方提供的</w:t>
      </w:r>
      <w:r>
        <w:rPr>
          <w:u w:val="single"/>
        </w:rPr>
        <w:t>“</w:t>
      </w:r>
      <w:r>
        <w:rPr>
          <w:u w:val="single"/>
        </w:rPr>
        <w:t>民众街道多宝路段和阳光大道等路段违法抓拍系统及交通信号灯后台建设项目</w:t>
      </w:r>
      <w:r>
        <w:rPr>
          <w:u w:val="single"/>
        </w:rPr>
        <w:t>”</w:t>
      </w:r>
      <w:r>
        <w:rPr/>
        <w:t>项目的磋商文件的全部内容。</w:t>
      </w:r>
    </w:p>
    <w:p>
      <w:pPr>
        <w:pStyle w:val="null3"/>
        <w:ind w:firstLine="480"/>
      </w:pPr>
      <w:r>
        <w:rPr/>
        <w:t xml:space="preserve"> 我方在参与响应前已详细研究了磋商文件的所有内容，包括澄清、修改文件（如果有）和所有已提供的参考资料以及有关附件，我方完全明白并认为此磋商文件没有倾向性，也不存在排斥潜在供应商的内容，我方同意磋商文件的相关条款，放弃对磋商文件提出误解和质疑的一切权力。</w:t>
      </w:r>
    </w:p>
    <w:p>
      <w:pPr>
        <w:pStyle w:val="null3"/>
        <w:ind w:firstLine="480"/>
      </w:pPr>
      <w:r>
        <w:rPr>
          <w:u w:val="single"/>
        </w:rPr>
        <w:t>(供应商名称)</w:t>
      </w:r>
      <w:r>
        <w:rPr/>
        <w:t>作为供应商正式授权</w:t>
      </w:r>
      <w:r>
        <w:rPr>
          <w:u w:val="single"/>
        </w:rPr>
        <w:t>(授权代表全名,职务)</w:t>
      </w:r>
      <w:r>
        <w:rPr/>
        <w:t>代表我方全权处理有关本响应的一切事宜。</w:t>
      </w:r>
    </w:p>
    <w:p>
      <w:pPr>
        <w:pStyle w:val="null3"/>
        <w:ind w:firstLine="480"/>
      </w:pPr>
      <w:r>
        <w:rPr/>
        <w:t>我方已完全明白磋商文件的所有条款要求，并申明如下：</w:t>
      </w:r>
    </w:p>
    <w:p>
      <w:pPr>
        <w:pStyle w:val="null3"/>
        <w:ind w:firstLine="480"/>
      </w:pPr>
      <w:r>
        <w:rPr/>
        <w:t>（一）按磋商文件提供的全部货物（工程、服务）与相关服务的磋商总价详见《首轮报价表》。</w:t>
      </w:r>
    </w:p>
    <w:p>
      <w:pPr>
        <w:pStyle w:val="null3"/>
        <w:ind w:firstLine="480"/>
      </w:pPr>
      <w:r>
        <w:rPr/>
        <w:t xml:space="preserve"> （二）本响应文件的有效期为</w:t>
      </w:r>
      <w:r>
        <w:rPr/>
        <w:t>从提交投标（响应）文件的截止之日起90日历天</w:t>
      </w:r>
      <w:r>
        <w:rPr/>
        <w:t>。如成交，有效期将延至合同终止日为止。在此提交的资格证明文件均至响应截止日有效，如有在响应有效期内失效的，我方承诺在成交后补齐一切手续，保证所有资格证明文件能在签订采购合同时直至采购合同终止日有效。</w:t>
      </w:r>
    </w:p>
    <w:p>
      <w:pPr>
        <w:pStyle w:val="null3"/>
        <w:ind w:firstLine="480"/>
      </w:pPr>
      <w:r>
        <w:rPr/>
        <w:t>（三）我方明白并同意，在规定的开启日之后，响应有效期之内撤回响应或成交后不按规定与采购人签订合同或不提交履约保证金, 则贵方将不予退还响应保证金。</w:t>
      </w:r>
    </w:p>
    <w:p>
      <w:pPr>
        <w:pStyle w:val="null3"/>
        <w:ind w:firstLine="480"/>
      </w:pPr>
      <w:r>
        <w:rPr/>
        <w:t>（四）我方愿意向贵方提供任何与本项报价有关的数据、情况和技术资料。若贵方需要，我方愿意提供我方作出的一切承诺的证明材料。</w:t>
      </w:r>
    </w:p>
    <w:p>
      <w:pPr>
        <w:pStyle w:val="null3"/>
        <w:ind w:firstLine="480"/>
      </w:pPr>
      <w:r>
        <w:rPr/>
        <w:t>（五）我方理解贵方不一定接受最低磋商价或任何贵方可能收到的响应。</w:t>
      </w:r>
    </w:p>
    <w:p>
      <w:pPr>
        <w:pStyle w:val="null3"/>
        <w:ind w:firstLine="480"/>
      </w:pPr>
      <w:r>
        <w:rPr/>
        <w:t>（六）我方如果成交，将保证履行磋商文件及其澄清、修改文件（如果有）中的全部责任和义务，按质、按量、按期完成《采购需求》及《合同书》中的全部任务。</w:t>
      </w:r>
    </w:p>
    <w:p>
      <w:pPr>
        <w:pStyle w:val="null3"/>
        <w:ind w:firstLine="480"/>
      </w:pPr>
      <w:r>
        <w:rPr/>
        <w:t>（七）我方作为法律、财务和运作上独立于采购人、采购代理机构的供应商，在此保证所提交的所有文件和全部说明是真实的和正确的。</w:t>
      </w:r>
    </w:p>
    <w:p>
      <w:pPr>
        <w:pStyle w:val="null3"/>
        <w:ind w:firstLine="480"/>
      </w:pPr>
      <w:r>
        <w:rPr/>
        <w:t>（八）我方磋商报价已包含应向知识产权所有权人支付的所有相关税费，并保证采购人在中国使用我方提供的货物时，如有第三方提出侵犯其知识产权主张的，责任由我方承担。</w:t>
      </w:r>
    </w:p>
    <w:p>
      <w:pPr>
        <w:pStyle w:val="null3"/>
        <w:ind w:firstLine="480"/>
      </w:pPr>
      <w:r>
        <w:rPr/>
        <w:t>（九）我方接受采购人委托向贵方支付代理服务费，项目总报价已包含代理服务费，如果被确定为成交供应商，承诺向贵方足额支付。（若采购人支付代理服务费，则此条不适用）</w:t>
      </w:r>
    </w:p>
    <w:p>
      <w:pPr>
        <w:pStyle w:val="null3"/>
        <w:ind w:firstLine="480"/>
      </w:pPr>
      <w:r>
        <w:rPr/>
        <w:t>（十）我方与其他供应商不存在单位负责人为同一人或者存在直接控股、管理关系。</w:t>
      </w:r>
    </w:p>
    <w:p>
      <w:pPr>
        <w:pStyle w:val="null3"/>
        <w:ind w:firstLine="480"/>
      </w:pPr>
      <w:r>
        <w:rPr/>
        <w:t>（十一）我方承诺未为本项目提供整体设计、规范编制或者项目管理、监理、检测等服务。</w:t>
      </w:r>
    </w:p>
    <w:p>
      <w:pPr>
        <w:pStyle w:val="null3"/>
        <w:ind w:firstLine="480"/>
      </w:pPr>
      <w:r>
        <w:rPr/>
        <w:t>（十二）我方未被列入法院失信被执行人名单中。</w:t>
      </w:r>
    </w:p>
    <w:p>
      <w:pPr>
        <w:pStyle w:val="null3"/>
        <w:ind w:firstLine="480"/>
      </w:pPr>
      <w:r>
        <w:rPr/>
        <w:t>（十三）我方承诺遵守《中华人民共和国民法典》有关规定和《中华人民共和国妇女权益保障法》中关于“劳动和社会保障权益”的有关要求。</w:t>
      </w:r>
    </w:p>
    <w:p>
      <w:pPr>
        <w:pStyle w:val="null3"/>
        <w:ind w:firstLine="480"/>
      </w:pPr>
      <w:r>
        <w:rPr/>
        <w:t>（十四）我方具备《中华人民共和国政府采购法》第二十二条规定的条件，承诺如下：</w:t>
      </w:r>
    </w:p>
    <w:p>
      <w:pPr>
        <w:pStyle w:val="null3"/>
        <w:ind w:firstLine="480"/>
      </w:pPr>
      <w:r>
        <w:rPr/>
        <w:t xml:space="preserve"> （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pStyle w:val="null3"/>
        <w:ind w:firstLine="480"/>
      </w:pPr>
      <w:r>
        <w:rPr/>
        <w:t>（2）我方符合法律、行政法规规定的其他条件。</w:t>
      </w:r>
    </w:p>
    <w:p>
      <w:pPr>
        <w:pStyle w:val="null3"/>
        <w:ind w:firstLine="480"/>
      </w:pPr>
      <w:r>
        <w:rPr/>
        <w:t>以上内容如有虚假或与事实不符的，磋商小组可将我方做无效响应处理，我方愿意承担相应的法律责任。</w:t>
      </w:r>
    </w:p>
    <w:p>
      <w:pPr>
        <w:pStyle w:val="null3"/>
        <w:ind w:firstLine="480"/>
      </w:pPr>
      <w:r>
        <w:rPr/>
        <w:t>（十五）我方对在本函及响应文件中所作的所有承诺承担法律责任。</w:t>
      </w:r>
    </w:p>
    <w:p>
      <w:pPr>
        <w:pStyle w:val="null3"/>
        <w:ind w:firstLine="480"/>
      </w:pPr>
      <w:r>
        <w:rPr/>
        <w:t>（十六）所有与本磋商有关的函件请发往下列地址：</w:t>
      </w:r>
    </w:p>
    <w:p>
      <w:pPr>
        <w:pStyle w:val="null3"/>
        <w:ind w:firstLine="480"/>
      </w:pPr>
      <w:r>
        <w:rPr/>
        <w:t xml:space="preserve"> 地 址：__________________，邮政编码：__________________</w:t>
      </w:r>
    </w:p>
    <w:p>
      <w:pPr>
        <w:pStyle w:val="null3"/>
        <w:ind w:firstLine="480"/>
      </w:pPr>
      <w:r>
        <w:rPr/>
        <w:t xml:space="preserve"> 电 话：__________________</w:t>
      </w:r>
    </w:p>
    <w:p>
      <w:pPr>
        <w:pStyle w:val="null3"/>
        <w:ind w:firstLine="480"/>
      </w:pPr>
      <w:r>
        <w:rPr/>
        <w:t xml:space="preserve"> 传 真：__________________，电子邮箱：__________________</w:t>
      </w:r>
    </w:p>
    <w:p>
      <w:pPr>
        <w:pStyle w:val="null3"/>
        <w:ind w:firstLine="480"/>
      </w:pPr>
      <w:r>
        <w:rPr/>
        <w:t xml:space="preserve"> 代表姓名：__________________，职 务：__________________</w:t>
      </w:r>
    </w:p>
    <w:p>
      <w:pPr>
        <w:pStyle w:val="null3"/>
        <w:jc w:val="right"/>
      </w:pPr>
      <w:r>
        <w:rPr/>
        <w:t xml:space="preserve"> 法定代表人或授权委托人（签字）：__________________</w:t>
      </w:r>
    </w:p>
    <w:p>
      <w:pPr>
        <w:pStyle w:val="null3"/>
        <w:jc w:val="right"/>
      </w:pPr>
      <w:r>
        <w:rPr/>
        <w:t xml:space="preserve"> 加盖公章：__________________</w:t>
      </w:r>
    </w:p>
    <w:p>
      <w:pPr>
        <w:pStyle w:val="null3"/>
        <w:jc w:val="right"/>
      </w:pPr>
      <w:r>
        <w:rPr/>
        <w:t xml:space="preserve"> 日  期：__________________</w:t>
      </w:r>
    </w:p>
    <w:p>
      <w:pPr>
        <w:pStyle w:val="null3"/>
        <w:ind w:firstLine="480"/>
      </w:pPr>
      <w:r>
        <w:rPr/>
        <w:t xml:space="preserve">  </w:t>
      </w:r>
    </w:p>
    <w:p>
      <w:pPr>
        <w:pStyle w:val="null3"/>
        <w:outlineLvl w:val="2"/>
      </w:pPr>
      <w:r>
        <w:rPr>
          <w:sz w:val="28"/>
          <w:b/>
        </w:rPr>
        <w:t>格式二：</w:t>
      </w:r>
    </w:p>
    <w:p>
      <w:pPr>
        <w:pStyle w:val="null3"/>
        <w:jc w:val="center"/>
        <w:outlineLvl w:val="3"/>
      </w:pPr>
      <w:r>
        <w:rPr>
          <w:sz w:val="24"/>
          <w:b/>
        </w:rPr>
        <w:t>首轮报价表</w:t>
      </w:r>
    </w:p>
    <w:p>
      <w:pPr>
        <w:pStyle w:val="null3"/>
        <w:ind w:firstLine="480"/>
      </w:pPr>
      <w:r>
        <w:rPr/>
        <w:t xml:space="preserve"> 注:采用电子响应的项目无需编制该表格，响应供应商应在投标客户端【报价部分】进行填写，投标客户端软件将自动根据供应商填写信息在线生成首轮报价表﹐若在响应文件中出现非系统生成的首轮报价表﹐且与投标客户端生成的首轮报价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响应供应商名称：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pPr>
              <w:pStyle w:val="null3"/>
            </w:pPr>
            <w:r>
              <w:rPr/>
              <w:t xml:space="preserve"> 序号</w:t>
            </w:r>
          </w:p>
        </w:tc>
        <w:tc>
          <w:tcPr>
            <w:tcW w:type="dxa" w:w="1661"/>
          </w:tcPr>
          <w:p>
            <w:pPr>
              <w:pStyle w:val="null3"/>
            </w:pPr>
            <w:r>
              <w:rPr/>
              <w:t xml:space="preserve"> 采购项目名称/采购包名称</w:t>
            </w:r>
          </w:p>
        </w:tc>
        <w:tc>
          <w:tcPr>
            <w:tcW w:type="dxa" w:w="1661"/>
          </w:tcPr>
          <w:p>
            <w:pPr>
              <w:pStyle w:val="null3"/>
            </w:pPr>
            <w:r>
              <w:rPr/>
              <w:t xml:space="preserve"> 响应报价（元/%）</w:t>
            </w:r>
          </w:p>
        </w:tc>
        <w:tc>
          <w:tcPr>
            <w:tcW w:type="dxa" w:w="1661"/>
          </w:tcPr>
          <w:p>
            <w:pPr>
              <w:pStyle w:val="null3"/>
            </w:pPr>
            <w:r>
              <w:rPr/>
              <w:t xml:space="preserve"> 交货或服务期</w:t>
            </w:r>
          </w:p>
        </w:tc>
        <w:tc>
          <w:tcPr>
            <w:tcW w:type="dxa" w:w="1661"/>
          </w:tcPr>
          <w:p>
            <w:pPr>
              <w:pStyle w:val="null3"/>
            </w:pPr>
            <w:r>
              <w:rPr/>
              <w:t xml:space="preserve"> 交货或服务地点</w:t>
            </w:r>
          </w:p>
        </w:tc>
      </w:tr>
      <w:tr>
        <w:tc>
          <w:tcPr>
            <w:tcW w:type="dxa" w:w="1661"/>
          </w:tcPr>
          <w:p>
            <w:pPr>
              <w:pStyle w:val="null3"/>
              <w:jc w:val="center"/>
            </w:pPr>
            <w:r>
              <w:rPr/>
              <w:t xml:space="preserve"> 1</w:t>
            </w:r>
          </w:p>
        </w:tc>
        <w:tc>
          <w:tcPr>
            <w:tcW w:type="dxa" w:w="1661"/>
          </w:tcPr>
          <w:p/>
        </w:tc>
        <w:tc>
          <w:tcPr>
            <w:tcW w:type="dxa" w:w="1661"/>
          </w:tcPr>
          <w:p/>
        </w:tc>
        <w:tc>
          <w:tcPr>
            <w:tcW w:type="dxa" w:w="1661"/>
          </w:tcPr>
          <w:p/>
        </w:tc>
        <w:tc>
          <w:tcPr>
            <w:tcW w:type="dxa" w:w="1661"/>
          </w:tcPr>
          <w:p/>
        </w:tc>
      </w:tr>
    </w:tbl>
    <w:p>
      <w:pPr>
        <w:pStyle w:val="null3"/>
        <w:jc w:val="right"/>
      </w:pPr>
      <w:r>
        <w:rPr/>
        <w:t xml:space="preserve"> 供应商签章：__________________</w:t>
      </w:r>
    </w:p>
    <w:p>
      <w:pPr>
        <w:pStyle w:val="null3"/>
        <w:jc w:val="right"/>
      </w:pPr>
      <w:r>
        <w:rPr/>
        <w:t>日期： 年 月 日</w:t>
      </w:r>
    </w:p>
    <w:p>
      <w:pPr>
        <w:pStyle w:val="null3"/>
        <w:ind w:firstLine="480"/>
      </w:pPr>
      <w:r>
        <w:rPr/>
        <w:t xml:space="preserve">  </w:t>
      </w:r>
    </w:p>
    <w:p>
      <w:pPr>
        <w:pStyle w:val="null3"/>
        <w:outlineLvl w:val="2"/>
      </w:pPr>
      <w:r>
        <w:rPr>
          <w:sz w:val="28"/>
          <w:b/>
        </w:rPr>
        <w:t>格式三：</w:t>
      </w:r>
    </w:p>
    <w:p>
      <w:pPr>
        <w:pStyle w:val="null3"/>
        <w:jc w:val="center"/>
        <w:outlineLvl w:val="3"/>
      </w:pPr>
      <w:r>
        <w:rPr>
          <w:sz w:val="24"/>
          <w:b/>
        </w:rPr>
        <w:t>分项报价表</w:t>
      </w:r>
    </w:p>
    <w:p>
      <w:pPr>
        <w:pStyle w:val="null3"/>
        <w:ind w:firstLine="480"/>
      </w:pPr>
      <w:r>
        <w:rPr/>
        <w:t xml:space="preserve"> 注:采用电子响应的项目无需编制该表格，响应供应商应在投标客户端【报价部分】进行填写，投标客户端软件将自动根据供应商填写信息在线生成分项报价表，若在响应文件中出现非系统生成的分项报价表，且与投标客户端生成的分项报价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响应供应商名称：</w:t>
      </w:r>
    </w:p>
    <w:p>
      <w:pPr>
        <w:pStyle w:val="null3"/>
        <w:ind w:firstLine="480"/>
      </w:pPr>
      <w:r>
        <w:rPr/>
        <w:t>采购包：</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货物名称</w:t>
            </w:r>
          </w:p>
        </w:tc>
        <w:tc>
          <w:tcPr>
            <w:tcW w:type="dxa" w:w="831"/>
          </w:tcPr>
          <w:p>
            <w:pPr>
              <w:pStyle w:val="null3"/>
            </w:pPr>
            <w:r>
              <w:rPr/>
              <w:t xml:space="preserve"> 规格型号</w:t>
            </w:r>
          </w:p>
        </w:tc>
        <w:tc>
          <w:tcPr>
            <w:tcW w:type="dxa" w:w="831"/>
          </w:tcPr>
          <w:p>
            <w:pPr>
              <w:pStyle w:val="null3"/>
            </w:pPr>
            <w:r>
              <w:rPr/>
              <w:t xml:space="preserve"> 品牌</w:t>
            </w:r>
          </w:p>
        </w:tc>
        <w:tc>
          <w:tcPr>
            <w:tcW w:type="dxa" w:w="831"/>
          </w:tcPr>
          <w:p>
            <w:pPr>
              <w:pStyle w:val="null3"/>
            </w:pPr>
            <w:r>
              <w:rPr/>
              <w:t xml:space="preserve"> 产地</w:t>
            </w:r>
          </w:p>
        </w:tc>
        <w:tc>
          <w:tcPr>
            <w:tcW w:type="dxa" w:w="831"/>
          </w:tcPr>
          <w:p>
            <w:pPr>
              <w:pStyle w:val="null3"/>
            </w:pPr>
            <w:r>
              <w:rPr/>
              <w:t xml:space="preserve"> 制造商名称</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jc w:val="center"/>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服务名称</w:t>
            </w:r>
          </w:p>
        </w:tc>
        <w:tc>
          <w:tcPr>
            <w:tcW w:type="dxa" w:w="831"/>
          </w:tcPr>
          <w:p>
            <w:pPr>
              <w:pStyle w:val="null3"/>
            </w:pPr>
            <w:r>
              <w:rPr/>
              <w:t xml:space="preserve"> 服务范围</w:t>
            </w:r>
          </w:p>
        </w:tc>
        <w:tc>
          <w:tcPr>
            <w:tcW w:type="dxa" w:w="831"/>
          </w:tcPr>
          <w:p>
            <w:pPr>
              <w:pStyle w:val="null3"/>
            </w:pPr>
            <w:r>
              <w:rPr/>
              <w:t xml:space="preserve"> 服务要求</w:t>
            </w:r>
          </w:p>
        </w:tc>
        <w:tc>
          <w:tcPr>
            <w:tcW w:type="dxa" w:w="831"/>
          </w:tcPr>
          <w:p>
            <w:pPr>
              <w:pStyle w:val="null3"/>
            </w:pPr>
            <w:r>
              <w:rPr/>
              <w:t xml:space="preserve"> 服务期限</w:t>
            </w:r>
          </w:p>
        </w:tc>
        <w:tc>
          <w:tcPr>
            <w:tcW w:type="dxa" w:w="831"/>
          </w:tcPr>
          <w:p>
            <w:pPr>
              <w:pStyle w:val="null3"/>
            </w:pPr>
            <w:r>
              <w:rPr/>
              <w:t xml:space="preserve"> 服务标准</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jc w:val="center"/>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jc w:val="right"/>
      </w:pPr>
      <w:r>
        <w:rPr/>
        <w:t xml:space="preserve"> 供应商签章：__________________</w:t>
      </w:r>
    </w:p>
    <w:p>
      <w:pPr>
        <w:pStyle w:val="null3"/>
        <w:jc w:val="right"/>
      </w:pPr>
      <w:r>
        <w:rPr/>
        <w:t>日期： 年 月 日</w:t>
      </w:r>
    </w:p>
    <w:p>
      <w:pPr>
        <w:pStyle w:val="null3"/>
        <w:ind w:firstLine="480"/>
      </w:pPr>
      <w:r>
        <w:rPr/>
        <w:t xml:space="preserve">  </w:t>
      </w:r>
    </w:p>
    <w:p>
      <w:pPr>
        <w:pStyle w:val="null3"/>
        <w:outlineLvl w:val="2"/>
      </w:pPr>
      <w:r>
        <w:rPr>
          <w:sz w:val="28"/>
          <w:b/>
        </w:rPr>
        <w:t>格式四：</w:t>
      </w:r>
    </w:p>
    <w:p>
      <w:pPr>
        <w:pStyle w:val="null3"/>
        <w:jc w:val="center"/>
        <w:outlineLvl w:val="3"/>
      </w:pPr>
      <w:r>
        <w:rPr>
          <w:sz w:val="24"/>
          <w:b/>
        </w:rPr>
        <w:t>政策适用性说明</w:t>
      </w:r>
    </w:p>
    <w:p>
      <w:pPr>
        <w:pStyle w:val="null3"/>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pPr>
            <w:r>
              <w:rPr/>
              <w:t xml:space="preserve"> 序号</w:t>
            </w:r>
          </w:p>
        </w:tc>
        <w:tc>
          <w:tcPr>
            <w:tcW w:type="dxa" w:w="1038"/>
          </w:tcPr>
          <w:p>
            <w:pPr>
              <w:pStyle w:val="null3"/>
            </w:pPr>
            <w:r>
              <w:rPr/>
              <w:t xml:space="preserve"> 主要产品/技术名称（规格型号、注册商标）</w:t>
            </w:r>
          </w:p>
        </w:tc>
        <w:tc>
          <w:tcPr>
            <w:tcW w:type="dxa" w:w="1038"/>
          </w:tcPr>
          <w:p>
            <w:pPr>
              <w:pStyle w:val="null3"/>
            </w:pPr>
            <w:r>
              <w:rPr/>
              <w:t xml:space="preserve"> 制造商(开发商)</w:t>
            </w:r>
          </w:p>
        </w:tc>
        <w:tc>
          <w:tcPr>
            <w:tcW w:type="dxa" w:w="1038"/>
          </w:tcPr>
          <w:p>
            <w:pPr>
              <w:pStyle w:val="null3"/>
            </w:pPr>
            <w:r>
              <w:rPr/>
              <w:t xml:space="preserve"> 制造商企业类型</w:t>
            </w:r>
          </w:p>
        </w:tc>
        <w:tc>
          <w:tcPr>
            <w:tcW w:type="dxa" w:w="1038"/>
          </w:tcPr>
          <w:p>
            <w:pPr>
              <w:pStyle w:val="null3"/>
            </w:pPr>
            <w:r>
              <w:rPr/>
              <w:t xml:space="preserve"> 节能产品</w:t>
            </w:r>
          </w:p>
        </w:tc>
        <w:tc>
          <w:tcPr>
            <w:tcW w:type="dxa" w:w="1038"/>
          </w:tcPr>
          <w:p>
            <w:pPr>
              <w:pStyle w:val="null3"/>
            </w:pPr>
            <w:r>
              <w:rPr/>
              <w:t xml:space="preserve"> 环境标志产品</w:t>
            </w:r>
          </w:p>
        </w:tc>
        <w:tc>
          <w:tcPr>
            <w:tcW w:type="dxa" w:w="1038"/>
          </w:tcPr>
          <w:p>
            <w:pPr>
              <w:pStyle w:val="null3"/>
            </w:pPr>
            <w:r>
              <w:rPr/>
              <w:t xml:space="preserve"> 认证证书编号</w:t>
            </w:r>
          </w:p>
        </w:tc>
        <w:tc>
          <w:tcPr>
            <w:tcW w:type="dxa" w:w="1038"/>
          </w:tcPr>
          <w:p>
            <w:pPr>
              <w:pStyle w:val="null3"/>
            </w:pPr>
            <w:r>
              <w:rPr/>
              <w:t xml:space="preserve"> 该产品报价在总报价中占比（%）</w:t>
            </w:r>
          </w:p>
        </w:tc>
      </w:tr>
      <w:tr>
        <w:tc>
          <w:tcPr>
            <w:tcW w:type="dxa" w:w="1038"/>
          </w:tcPr>
          <w:p>
            <w:pPr>
              <w:pStyle w:val="null3"/>
              <w:jc w:val="center"/>
            </w:pPr>
            <w:r>
              <w:rPr/>
              <w:t xml:space="preserve"> 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jc w:val="center"/>
            </w:pPr>
            <w:r>
              <w:rPr/>
              <w:t xml:space="preserve"> 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jc w:val="center"/>
            </w:pPr>
            <w:r>
              <w:rPr/>
              <w:t xml:space="preserve"> 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jc w:val="center"/>
            </w:pPr>
            <w:r>
              <w:rPr/>
              <w:t xml:space="preserve"> 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jc w:val="center"/>
            </w:pPr>
            <w:r>
              <w:rPr/>
              <w:t xml:space="preserve"> 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pStyle w:val="null3"/>
        <w:ind w:firstLine="480"/>
      </w:pPr>
      <w:r>
        <w:rPr/>
        <w:t>注：</w:t>
      </w:r>
    </w:p>
    <w:p>
      <w:pPr>
        <w:pStyle w:val="null3"/>
        <w:ind w:firstLine="480"/>
      </w:pPr>
      <w:r>
        <w:rPr/>
        <w:t>1.制造商为小型或微型企业时才需要填“制造商企业类型”栏,填写内容为“小型”或“微型”；</w:t>
      </w:r>
    </w:p>
    <w:p>
      <w:pPr>
        <w:pStyle w:val="null3"/>
        <w:ind w:firstLine="480"/>
      </w:pPr>
      <w:r>
        <w:rPr/>
        <w:t>2.“节能产品、环境标志产品”须填写认证证书编号，并在对应“节能产品”、“环境标志产品”栏中勾选，同时提供有效期内的证书复印件（加盖供应商公章）</w:t>
      </w:r>
    </w:p>
    <w:p>
      <w:pPr>
        <w:pStyle w:val="null3"/>
        <w:jc w:val="right"/>
      </w:pPr>
      <w:r>
        <w:rPr/>
        <w:t xml:space="preserve"> 供应商名称（盖章）：__________________</w:t>
      </w:r>
    </w:p>
    <w:p>
      <w:pPr>
        <w:pStyle w:val="null3"/>
        <w:jc w:val="right"/>
      </w:pPr>
      <w:r>
        <w:rPr/>
        <w:t xml:space="preserve"> 日  期：__________________</w:t>
      </w:r>
    </w:p>
    <w:p>
      <w:pPr>
        <w:pStyle w:val="null3"/>
      </w:pPr>
      <w:r>
        <w:rPr/>
        <w:t xml:space="preserve">  </w:t>
      </w:r>
    </w:p>
    <w:p>
      <w:pPr>
        <w:pStyle w:val="null3"/>
        <w:outlineLvl w:val="2"/>
      </w:pPr>
      <w:r>
        <w:rPr>
          <w:sz w:val="28"/>
          <w:b/>
        </w:rPr>
        <w:t>格式五：</w:t>
      </w:r>
    </w:p>
    <w:p>
      <w:pPr>
        <w:pStyle w:val="null3"/>
        <w:ind w:firstLine="480"/>
      </w:pPr>
      <w:r>
        <w:rPr/>
        <w:t>（供应商可使用下述格式，也可使用广东省工商行政管理局统一印制的法定代表人证明书格式）</w:t>
      </w:r>
    </w:p>
    <w:p>
      <w:pPr>
        <w:pStyle w:val="null3"/>
        <w:jc w:val="center"/>
        <w:outlineLvl w:val="3"/>
      </w:pPr>
      <w:r>
        <w:rPr>
          <w:sz w:val="24"/>
          <w:b/>
        </w:rPr>
        <w:t>法定代表人证明书</w:t>
      </w:r>
    </w:p>
    <w:p>
      <w:pPr>
        <w:pStyle w:val="null3"/>
        <w:ind w:firstLine="480"/>
      </w:pPr>
      <w:r>
        <w:rPr/>
        <w:t>_____________现任我单位_____________职务，为法定代表人，特此证明。</w:t>
      </w:r>
    </w:p>
    <w:p>
      <w:pPr>
        <w:pStyle w:val="null3"/>
        <w:ind w:firstLine="480"/>
      </w:pPr>
      <w:r>
        <w:rPr/>
        <w:t>有效期限：__________________</w:t>
      </w:r>
    </w:p>
    <w:p>
      <w:pPr>
        <w:pStyle w:val="null3"/>
        <w:ind w:firstLine="480"/>
      </w:pPr>
      <w:r>
        <w:rPr/>
        <w:t>附：代表人性别：_____年龄：_________ 身份证号码：__________________</w:t>
      </w:r>
    </w:p>
    <w:p>
      <w:pPr>
        <w:pStyle w:val="null3"/>
        <w:ind w:firstLine="480"/>
      </w:pPr>
      <w:r>
        <w:rPr/>
        <w:t>注册号码：____________________企业类型：____________________________</w:t>
      </w:r>
    </w:p>
    <w:p>
      <w:pPr>
        <w:pStyle w:val="null3"/>
        <w:ind w:firstLine="480"/>
      </w:pPr>
      <w:r>
        <w:rPr/>
        <w:t>经营范围：__________________________________________________________</w:t>
      </w:r>
    </w:p>
    <w:p>
      <w:pPr>
        <w:pStyle w:val="null3"/>
        <w:jc w:val="right"/>
      </w:pPr>
      <w:r>
        <w:rPr/>
        <w:t xml:space="preserve"> 供应商名称（盖章）：__________________</w:t>
      </w:r>
    </w:p>
    <w:p>
      <w:pPr>
        <w:pStyle w:val="null3"/>
        <w:jc w:val="right"/>
      </w:pPr>
      <w:r>
        <w:rPr/>
        <w:t xml:space="preserve"> 地  址：__________________</w:t>
      </w:r>
    </w:p>
    <w:p>
      <w:pPr>
        <w:pStyle w:val="null3"/>
        <w:jc w:val="right"/>
      </w:pPr>
      <w:r>
        <w:rPr/>
        <w:t xml:space="preserve"> 法定代表人（签字或盖章）：__________________</w:t>
      </w:r>
    </w:p>
    <w:p>
      <w:pPr>
        <w:pStyle w:val="null3"/>
        <w:jc w:val="right"/>
      </w:pPr>
      <w:r>
        <w:rPr/>
        <w:t xml:space="preserve"> 职  务：__________________</w:t>
      </w:r>
    </w:p>
    <w:p>
      <w:pPr>
        <w:pStyle w:val="null3"/>
        <w:jc w:val="right"/>
      </w:pPr>
      <w:r>
        <w:rPr/>
        <w:t xml:space="preserve"> 日  期：__________________</w:t>
      </w:r>
    </w:p>
    <w:p>
      <w:pPr>
        <w:pStyle w:val="null3"/>
      </w:pPr>
      <w:r>
        <w:rPr/>
        <w:t xml:space="preserve">  </w:t>
      </w:r>
    </w:p>
    <w:p>
      <w:pPr>
        <w:pStyle w:val="null3"/>
        <w:outlineLvl w:val="2"/>
      </w:pPr>
      <w:r>
        <w:rPr>
          <w:sz w:val="28"/>
          <w:b/>
        </w:rPr>
        <w:t>格式六：</w:t>
      </w:r>
    </w:p>
    <w:p>
      <w:pPr>
        <w:pStyle w:val="null3"/>
        <w:jc w:val="center"/>
        <w:outlineLvl w:val="3"/>
      </w:pPr>
      <w:r>
        <w:rPr>
          <w:sz w:val="24"/>
          <w:b/>
        </w:rPr>
        <w:t>法定代表人授权书格式</w:t>
      </w:r>
    </w:p>
    <w:p>
      <w:pPr>
        <w:pStyle w:val="null3"/>
        <w:ind w:firstLine="480"/>
      </w:pPr>
      <w:r>
        <w:rPr/>
        <w:t>（对于银行、保险、电信、邮政、铁路等行业以及获得总公司响应授权的分公司，可以提供响应分支机构负责人授权书）</w:t>
      </w:r>
    </w:p>
    <w:p>
      <w:pPr>
        <w:pStyle w:val="null3"/>
        <w:jc w:val="center"/>
        <w:outlineLvl w:val="3"/>
      </w:pPr>
      <w:r>
        <w:rPr>
          <w:sz w:val="24"/>
          <w:b/>
        </w:rPr>
        <w:t>法定代表人授权书</w:t>
      </w:r>
    </w:p>
    <w:p>
      <w:pPr>
        <w:pStyle w:val="null3"/>
        <w:ind w:firstLine="480"/>
      </w:pPr>
      <w:r>
        <w:rPr/>
        <w:t>致：</w:t>
      </w:r>
      <w:r>
        <w:rPr/>
        <w:t>广东省建东工程监理有限公司中山分公司</w:t>
      </w:r>
    </w:p>
    <w:p>
      <w:pPr>
        <w:pStyle w:val="null3"/>
        <w:ind w:firstLine="480"/>
      </w:pPr>
      <w:r>
        <w:rPr/>
        <w:t xml:space="preserve">本授权书声明：________是注册于 </w:t>
      </w:r>
      <w:r>
        <w:rPr>
          <w:u w:val="single"/>
        </w:rPr>
        <w:t>（国家或地区）</w:t>
      </w:r>
      <w:r>
        <w:rPr/>
        <w:t>的</w:t>
      </w:r>
      <w:r>
        <w:rPr>
          <w:u w:val="single"/>
        </w:rPr>
        <w:t>（供应商名称）</w:t>
      </w:r>
      <w:r>
        <w:rPr/>
        <w:t xml:space="preserve">的法定代表人，现任________职务，有效证件号码：________________。现授权 </w:t>
      </w:r>
      <w:r>
        <w:rPr>
          <w:u w:val="single"/>
        </w:rPr>
        <w:t>（姓名、职务）</w:t>
      </w:r>
      <w:r>
        <w:rPr/>
        <w:t xml:space="preserve"> 作为我公司的全权代理人，就“</w:t>
      </w:r>
      <w:r>
        <w:rPr/>
        <w:t>民众街道多宝路段和阳光大道等路段违法抓拍系统及交通信号灯后台建设项目</w:t>
      </w:r>
      <w:r>
        <w:rPr/>
        <w:t>”项目采购[采购项目编号为</w:t>
      </w:r>
      <w:r>
        <w:rPr/>
        <w:t>ZSJD24ZC0074</w:t>
      </w:r>
      <w:r>
        <w:rPr/>
        <w:t>]的响应和合同执行，以我方的名义处理一切与之有关的事宜。</w:t>
      </w:r>
    </w:p>
    <w:p>
      <w:pPr>
        <w:pStyle w:val="null3"/>
        <w:ind w:firstLine="480"/>
      </w:pPr>
      <w:r>
        <w:rPr/>
        <w:t>本授权书于________年________月________日签字生效，特此声明。</w:t>
      </w:r>
    </w:p>
    <w:p>
      <w:pPr>
        <w:pStyle w:val="null3"/>
        <w:jc w:val="right"/>
      </w:pPr>
      <w:r>
        <w:rPr/>
        <w:t xml:space="preserve"> 供应商（盖章）：__________________</w:t>
      </w:r>
    </w:p>
    <w:p>
      <w:pPr>
        <w:pStyle w:val="null3"/>
        <w:jc w:val="right"/>
      </w:pPr>
      <w:r>
        <w:rPr/>
        <w:t xml:space="preserve"> 地  址：__________________</w:t>
      </w:r>
    </w:p>
    <w:p>
      <w:pPr>
        <w:pStyle w:val="null3"/>
        <w:jc w:val="right"/>
      </w:pPr>
      <w:r>
        <w:rPr/>
        <w:t xml:space="preserve"> 法定代表人（签字或盖章）：__________________</w:t>
      </w:r>
    </w:p>
    <w:p>
      <w:pPr>
        <w:pStyle w:val="null3"/>
        <w:jc w:val="right"/>
      </w:pPr>
      <w:r>
        <w:rPr/>
        <w:t xml:space="preserve"> 职  务：__________________</w:t>
      </w:r>
    </w:p>
    <w:p>
      <w:pPr>
        <w:pStyle w:val="null3"/>
        <w:jc w:val="right"/>
      </w:pPr>
      <w:r>
        <w:rPr/>
        <w:t xml:space="preserve"> 被授权人（签字或盖章）：__________________</w:t>
      </w:r>
    </w:p>
    <w:p>
      <w:pPr>
        <w:pStyle w:val="null3"/>
        <w:jc w:val="right"/>
      </w:pPr>
      <w:r>
        <w:rPr/>
        <w:t xml:space="preserve"> 职  务：__________________</w:t>
      </w:r>
    </w:p>
    <w:p>
      <w:pPr>
        <w:pStyle w:val="null3"/>
        <w:jc w:val="right"/>
      </w:pPr>
      <w:r>
        <w:rPr/>
        <w:t xml:space="preserve"> 日  期：__________________</w:t>
      </w:r>
    </w:p>
    <w:p>
      <w:pPr>
        <w:pStyle w:val="null3"/>
      </w:pPr>
      <w:r>
        <w:rPr/>
        <w:t xml:space="preserve">  </w:t>
      </w:r>
    </w:p>
    <w:p>
      <w:pPr>
        <w:pStyle w:val="null3"/>
        <w:outlineLvl w:val="2"/>
      </w:pPr>
      <w:r>
        <w:rPr>
          <w:sz w:val="28"/>
          <w:b/>
        </w:rPr>
        <w:t>格式七：</w:t>
      </w:r>
    </w:p>
    <w:p>
      <w:pPr>
        <w:pStyle w:val="null3"/>
        <w:jc w:val="center"/>
        <w:outlineLvl w:val="3"/>
      </w:pPr>
      <w:r>
        <w:rPr>
          <w:sz w:val="24"/>
          <w:b/>
        </w:rPr>
        <w:t>响应保证金</w:t>
      </w:r>
    </w:p>
    <w:p>
      <w:pPr>
        <w:pStyle w:val="null3"/>
        <w:ind w:firstLine="480"/>
      </w:pPr>
      <w:r>
        <w:rPr/>
        <w:t>响应文件要求递交响应保证金的，供应商应在此提供保证金的凭证的复印件。</w:t>
      </w:r>
    </w:p>
    <w:p>
      <w:pPr>
        <w:pStyle w:val="null3"/>
      </w:pPr>
      <w:r>
        <w:rPr/>
        <w:t xml:space="preserve">  </w:t>
      </w:r>
    </w:p>
    <w:p>
      <w:pPr>
        <w:pStyle w:val="null3"/>
        <w:outlineLvl w:val="2"/>
      </w:pPr>
      <w:r>
        <w:rPr>
          <w:sz w:val="28"/>
          <w:b/>
        </w:rPr>
        <w:t>格式八：</w:t>
      </w:r>
    </w:p>
    <w:p>
      <w:pPr>
        <w:pStyle w:val="null3"/>
        <w:jc w:val="center"/>
        <w:outlineLvl w:val="3"/>
      </w:pPr>
      <w:r>
        <w:rPr>
          <w:sz w:val="24"/>
          <w:b/>
        </w:rPr>
        <w:t>提供具有独立承担民事责任的能力的证明材料</w:t>
      </w:r>
    </w:p>
    <w:p>
      <w:pPr>
        <w:pStyle w:val="null3"/>
      </w:pPr>
      <w:r>
        <w:rPr/>
        <w:t xml:space="preserve">  </w:t>
      </w:r>
    </w:p>
    <w:p>
      <w:pPr>
        <w:pStyle w:val="null3"/>
        <w:outlineLvl w:val="2"/>
      </w:pPr>
      <w:r>
        <w:rPr>
          <w:sz w:val="28"/>
          <w:b/>
        </w:rPr>
        <w:t>格式九：</w:t>
      </w:r>
    </w:p>
    <w:p>
      <w:pPr>
        <w:pStyle w:val="null3"/>
        <w:jc w:val="center"/>
        <w:outlineLvl w:val="3"/>
      </w:pPr>
      <w:r>
        <w:rPr>
          <w:sz w:val="24"/>
          <w:b/>
        </w:rPr>
        <w:t>资格性审查要求的其他资质证明文件</w:t>
      </w:r>
    </w:p>
    <w:p>
      <w:pPr>
        <w:pStyle w:val="null3"/>
        <w:ind w:firstLine="480"/>
      </w:pPr>
      <w:r>
        <w:rPr/>
        <w:t>具有履行合同所必需的设备和专业技术能力</w:t>
      </w:r>
    </w:p>
    <w:p>
      <w:pPr>
        <w:pStyle w:val="null3"/>
      </w:pPr>
      <w:r>
        <w:rPr/>
        <w:t xml:space="preserve">  </w:t>
      </w:r>
    </w:p>
    <w:p>
      <w:pPr>
        <w:pStyle w:val="null3"/>
        <w:outlineLvl w:val="2"/>
      </w:pPr>
      <w:r>
        <w:rPr>
          <w:sz w:val="28"/>
          <w:b/>
        </w:rPr>
        <w:t>格式十：</w:t>
      </w:r>
    </w:p>
    <w:p>
      <w:pPr>
        <w:pStyle w:val="null3"/>
        <w:ind w:firstLine="480"/>
      </w:pPr>
      <w:r>
        <w:rPr/>
        <w:t>（对于采购需求写明“提供承诺”的条款，供应商可参照以下格式提供承诺）</w:t>
      </w:r>
    </w:p>
    <w:p>
      <w:pPr>
        <w:pStyle w:val="null3"/>
        <w:jc w:val="center"/>
        <w:outlineLvl w:val="3"/>
      </w:pPr>
      <w:r>
        <w:rPr>
          <w:sz w:val="24"/>
          <w:b/>
        </w:rPr>
        <w:t>承诺函</w:t>
      </w:r>
    </w:p>
    <w:p>
      <w:pPr>
        <w:pStyle w:val="null3"/>
        <w:ind w:firstLine="480"/>
      </w:pPr>
      <w:r>
        <w:rPr/>
        <w:t>致：</w:t>
      </w:r>
      <w:r>
        <w:rPr/>
        <w:t>中山市公安局民众分局</w:t>
      </w:r>
      <w:r>
        <w:br/>
      </w:r>
    </w:p>
    <w:p>
      <w:pPr>
        <w:pStyle w:val="null3"/>
        <w:ind w:firstLine="480"/>
      </w:pPr>
      <w:r>
        <w:rPr/>
        <w:t>对于__________________项目（项目编号：__________________），我方郑重承诺如下：</w:t>
      </w:r>
    </w:p>
    <w:p>
      <w:pPr>
        <w:pStyle w:val="null3"/>
        <w:ind w:firstLine="480"/>
      </w:pPr>
      <w:r>
        <w:rPr/>
        <w:t>如中标/成交，我方承诺严格落实采购文件以下条款：(建议逐条复制采购文件相关条款原文)</w:t>
      </w:r>
    </w:p>
    <w:p>
      <w:pPr>
        <w:pStyle w:val="null3"/>
        <w:ind w:firstLine="480"/>
      </w:pPr>
      <w:r>
        <w:rPr/>
        <w:t>（一）星号条款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（二）三角号条款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（三）非星号、非三角号条款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r>
        <w:br/>
      </w:r>
    </w:p>
    <w:p>
      <w:pPr>
        <w:pStyle w:val="null3"/>
        <w:ind w:firstLine="480"/>
      </w:pPr>
      <w:r>
        <w:rPr/>
        <w:t>特此承诺。</w:t>
      </w:r>
    </w:p>
    <w:p>
      <w:pPr>
        <w:pStyle w:val="null3"/>
      </w:pPr>
      <w:r>
        <w:rPr/>
        <w:t xml:space="preserve"> 供应商名称（盖章）：__________________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格式十一：</w:t>
      </w:r>
    </w:p>
    <w:p>
      <w:pPr>
        <w:pStyle w:val="null3"/>
        <w:ind w:firstLine="480"/>
      </w:pPr>
      <w:r>
        <w:rPr/>
        <w:t>（以下格式文件由供应商根据需要选用）</w:t>
      </w:r>
    </w:p>
    <w:p>
      <w:pPr>
        <w:pStyle w:val="null3"/>
        <w:ind w:firstLine="480"/>
      </w:pPr>
      <w:r>
        <w:rPr/>
        <w:t>中小企业声明函（所投产品制造商为中小企业时提交本函，所属行业应符合磋商文件中明确的本项目所属行业）</w:t>
      </w:r>
    </w:p>
    <w:p>
      <w:pPr>
        <w:pStyle w:val="null3"/>
        <w:jc w:val="center"/>
        <w:outlineLvl w:val="3"/>
      </w:pPr>
      <w:r>
        <w:rPr>
          <w:sz w:val="24"/>
          <w:b/>
        </w:rPr>
        <w:t>中小企业声明函（货物）</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pStyle w:val="null3"/>
        <w:ind w:firstLine="480"/>
      </w:pPr>
      <w:r>
        <w:rPr/>
        <w:t xml:space="preserve"> 1.（标的名称），属于（磋商文件中明确的所属行业）行业；制造商为（企业名称），从业人员__________________人，营业收入为__________________万元，资产总额为__________________万元</w:t>
      </w:r>
      <w:r>
        <w:rPr>
          <w:sz w:val="7"/>
        </w:rPr>
        <w:t>1</w:t>
      </w:r>
      <w:r>
        <w:rPr/>
        <w:t>，属于（中型企业、小型企业、微型企业）；</w:t>
      </w:r>
    </w:p>
    <w:p>
      <w:pPr>
        <w:pStyle w:val="null3"/>
        <w:ind w:firstLine="480"/>
      </w:pPr>
      <w:r>
        <w:rPr/>
        <w:t xml:space="preserve"> 2.（标的名称），属于（磋商文件中明确的所属行业）行业；制造商为（企业名称），从业人员__________________人，营业收入为__________________万元，资产总额为__________________万元</w:t>
      </w:r>
      <w:r>
        <w:rPr>
          <w:sz w:val="7"/>
        </w:rPr>
        <w:t>1</w:t>
      </w:r>
      <w:r>
        <w:rPr/>
        <w:t>，属于（中型企业、小型企业、微型企业）；</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jc w:val="right"/>
      </w:pPr>
      <w:r>
        <w:rPr/>
        <w:t xml:space="preserve"> 企业名称（盖章）：__________________</w:t>
      </w:r>
    </w:p>
    <w:p>
      <w:pPr>
        <w:pStyle w:val="null3"/>
        <w:jc w:val="right"/>
      </w:pPr>
      <w:r>
        <w:rPr/>
        <w:t xml:space="preserve"> 日  期：__________________</w:t>
      </w:r>
    </w:p>
    <w:p>
      <w:pPr>
        <w:pStyle w:val="null3"/>
        <w:ind w:firstLine="480"/>
      </w:pPr>
      <w:r>
        <w:rPr/>
        <w:t>1：从业人员、营业收入、资产总额填报上一年度数据，无上一年度数据的新成立企业可不填报。</w:t>
      </w:r>
    </w:p>
    <w:p>
      <w:pPr>
        <w:pStyle w:val="null3"/>
        <w:ind w:firstLine="480"/>
      </w:pPr>
      <w:r>
        <w:rPr/>
        <w:t xml:space="preserve"> 2：供应商应当对其出具的《中小企业声明函》真实性负责，供应商出具的《中小企业声明函》内容不实的，属于提供虚假材料谋取成交。在实际操作中，供应商希望获得中小企业扶持政策支持的，应从制造商处获得充分、准确的信息。对相关制造商信息了解不充分，或者不能确定相关信息真实、准确的，不建议出具《中小企业声明函》。</w:t>
      </w:r>
    </w:p>
    <w:p>
      <w:pPr>
        <w:pStyle w:val="null3"/>
        <w:ind w:firstLine="480"/>
      </w:pPr>
      <w:r>
        <w:rPr/>
        <w:t xml:space="preserve">  </w:t>
      </w:r>
    </w:p>
    <w:p>
      <w:pPr>
        <w:pStyle w:val="null3"/>
        <w:ind w:firstLine="480"/>
      </w:pPr>
      <w:r>
        <w:rPr/>
        <w:t>中小企业声明函（承建本项目工程为中小企业或者承接本项目服务为中小企业时提交本函，所属行业应符合磋商文件中明确的本项目所属行业）</w:t>
      </w:r>
    </w:p>
    <w:p>
      <w:pPr>
        <w:pStyle w:val="null3"/>
        <w:jc w:val="center"/>
        <w:outlineLvl w:val="3"/>
      </w:pPr>
      <w:r>
        <w:rPr>
          <w:sz w:val="24"/>
          <w:b/>
        </w:rPr>
        <w:t>中小企业声明函（工程、服务）</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pStyle w:val="null3"/>
        <w:ind w:firstLine="480"/>
      </w:pPr>
      <w:r>
        <w:rPr/>
        <w:t xml:space="preserve"> 1.（标的名称），属于（磋商文件中明确的所属行业）行业；承建（承接）企业为（企业名称），从业人员__________________人，营业收入为__________________万元，资产总额为__________________万元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pStyle w:val="null3"/>
        <w:ind w:firstLine="480"/>
      </w:pPr>
      <w:r>
        <w:rPr/>
        <w:t xml:space="preserve"> 2.（标的名称），属于（磋商文件中明确的所属行业）行业；承建（承接）企业为（企业名称），从业人员__________________人，营业收入为__________________万元，资产总额为__________________万元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jc w:val="right"/>
      </w:pPr>
      <w:r>
        <w:rPr/>
        <w:t xml:space="preserve"> 企业名称（盖章）：__________________</w:t>
      </w:r>
    </w:p>
    <w:p>
      <w:pPr>
        <w:pStyle w:val="null3"/>
        <w:jc w:val="right"/>
      </w:pPr>
      <w:r>
        <w:rPr/>
        <w:t xml:space="preserve"> 日  期：__________________</w:t>
      </w:r>
    </w:p>
    <w:p>
      <w:pPr>
        <w:pStyle w:val="null3"/>
        <w:ind w:firstLine="480"/>
      </w:pPr>
      <w:r>
        <w:rPr/>
        <w:t>1：从业人员、营业收入、资产总额填报上一年度数据，无上一年度数据的新成立企业可不填报。</w:t>
      </w:r>
    </w:p>
    <w:p>
      <w:pPr>
        <w:pStyle w:val="null3"/>
        <w:ind w:firstLine="480"/>
      </w:pPr>
      <w:r>
        <w:rPr/>
        <w:t>2：供应商应当自行核实是否属于小微企业，并认真填写声明函，若有虚假将追究其责任。</w:t>
      </w:r>
    </w:p>
    <w:p>
      <w:pPr>
        <w:pStyle w:val="null3"/>
        <w:ind w:firstLine="480"/>
      </w:pPr>
      <w:r>
        <w:rPr/>
        <w:t xml:space="preserve">  </w:t>
      </w:r>
    </w:p>
    <w:p>
      <w:pPr>
        <w:pStyle w:val="null3"/>
        <w:outlineLvl w:val="2"/>
      </w:pPr>
      <w:r>
        <w:rPr>
          <w:sz w:val="28"/>
          <w:b/>
        </w:rPr>
        <w:t>格式十二：</w:t>
      </w:r>
    </w:p>
    <w:p>
      <w:pPr>
        <w:pStyle w:val="null3"/>
        <w:ind w:firstLine="480"/>
      </w:pPr>
      <w:r>
        <w:rPr/>
        <w:t>（以下格式文件由供应商根据需要选用）</w:t>
      </w:r>
    </w:p>
    <w:p>
      <w:pPr>
        <w:pStyle w:val="null3"/>
        <w:jc w:val="center"/>
        <w:outlineLvl w:val="3"/>
      </w:pPr>
      <w:r>
        <w:rPr>
          <w:sz w:val="24"/>
          <w:b/>
        </w:rPr>
        <w:t>监狱企业</w:t>
      </w:r>
    </w:p>
    <w:p>
      <w:pPr>
        <w:pStyle w:val="null3"/>
        <w:ind w:firstLine="480"/>
      </w:pPr>
      <w:r>
        <w:rPr/>
        <w:t>提供由监狱管理局、戒毒管理局（含新疆生产建设兵团）出具的属于监狱企业的证明文件。</w:t>
      </w:r>
    </w:p>
    <w:p>
      <w:pPr>
        <w:pStyle w:val="null3"/>
        <w:ind w:firstLine="480"/>
      </w:pPr>
      <w:r>
        <w:rPr/>
        <w:t xml:space="preserve">  </w:t>
      </w:r>
    </w:p>
    <w:p>
      <w:pPr>
        <w:pStyle w:val="null3"/>
        <w:outlineLvl w:val="2"/>
      </w:pPr>
      <w:r>
        <w:rPr>
          <w:sz w:val="28"/>
          <w:b/>
        </w:rPr>
        <w:t>格式十三：</w:t>
      </w:r>
    </w:p>
    <w:p>
      <w:pPr>
        <w:pStyle w:val="null3"/>
        <w:ind w:firstLine="480"/>
      </w:pPr>
      <w:r>
        <w:rPr/>
        <w:t>（以下格式文件由供应商根据需要选用）</w:t>
      </w:r>
    </w:p>
    <w:p>
      <w:pPr>
        <w:pStyle w:val="null3"/>
        <w:jc w:val="center"/>
        <w:outlineLvl w:val="3"/>
      </w:pPr>
      <w:r>
        <w:rPr>
          <w:sz w:val="24"/>
          <w:b/>
        </w:rPr>
        <w:t>残疾人福利性单位声明函</w:t>
      </w:r>
    </w:p>
    <w:p>
      <w:pPr>
        <w:pStyle w:val="null3"/>
        <w:ind w:firstLine="480"/>
      </w:pPr>
      <w:r>
        <w:rPr/>
        <w:t>本单位郑重声明，根据《财政部 民政部 中国残疾人联合会关于促进残疾人就业政府采购政策的通知》（财库〔2017〕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pStyle w:val="null3"/>
        <w:ind w:firstLine="480"/>
      </w:pPr>
      <w:r>
        <w:rPr/>
        <w:t>本单位对上述声明的真实性负责。如有虚假，将依法承担相应责任。</w:t>
      </w:r>
    </w:p>
    <w:p>
      <w:pPr>
        <w:pStyle w:val="null3"/>
        <w:jc w:val="right"/>
      </w:pPr>
      <w:r>
        <w:rPr/>
        <w:t>单位名称（盖章）：__________________</w:t>
      </w:r>
    </w:p>
    <w:p>
      <w:pPr>
        <w:pStyle w:val="null3"/>
        <w:jc w:val="right"/>
      </w:pPr>
      <w:r>
        <w:rPr/>
        <w:t xml:space="preserve"> 日  期：__________________</w:t>
      </w:r>
    </w:p>
    <w:p>
      <w:pPr>
        <w:pStyle w:val="null3"/>
        <w:ind w:firstLine="480"/>
      </w:pPr>
      <w:r>
        <w:rPr/>
        <w:t>注：本函未填写或未勾选视作未做声明。</w:t>
      </w:r>
    </w:p>
    <w:p>
      <w:pPr>
        <w:pStyle w:val="null3"/>
        <w:ind w:firstLine="480"/>
      </w:pPr>
      <w:r>
        <w:rPr/>
        <w:t xml:space="preserve">  </w:t>
      </w:r>
    </w:p>
    <w:p>
      <w:pPr>
        <w:pStyle w:val="null3"/>
        <w:outlineLvl w:val="2"/>
      </w:pPr>
      <w:r>
        <w:rPr>
          <w:sz w:val="28"/>
          <w:b/>
        </w:rPr>
        <w:t>格式十四：</w:t>
      </w:r>
    </w:p>
    <w:p>
      <w:pPr>
        <w:pStyle w:val="null3"/>
        <w:ind w:firstLine="480"/>
      </w:pPr>
      <w:r>
        <w:rPr/>
        <w:t>（以下格式文件由供应商根据需要选用）</w:t>
      </w:r>
    </w:p>
    <w:p>
      <w:pPr>
        <w:pStyle w:val="null3"/>
        <w:jc w:val="center"/>
        <w:outlineLvl w:val="3"/>
      </w:pPr>
      <w:r>
        <w:rPr>
          <w:sz w:val="24"/>
          <w:b/>
        </w:rPr>
        <w:t>联合体共同响应协议书</w:t>
      </w:r>
    </w:p>
    <w:p>
      <w:pPr>
        <w:pStyle w:val="null3"/>
        <w:ind w:firstLine="480"/>
      </w:pPr>
      <w:r>
        <w:rPr/>
        <w:t>立约方：</w:t>
      </w:r>
      <w:r>
        <w:rPr>
          <w:u w:val="single"/>
        </w:rPr>
        <w:t>（甲公司全称）</w:t>
      </w:r>
    </w:p>
    <w:p>
      <w:pPr>
        <w:pStyle w:val="null3"/>
        <w:ind w:firstLine="480"/>
      </w:pPr>
      <w:r>
        <w:rPr>
          <w:u w:val="single"/>
        </w:rPr>
        <w:t>（乙公司全称）</w:t>
      </w:r>
    </w:p>
    <w:p>
      <w:pPr>
        <w:pStyle w:val="null3"/>
        <w:ind w:firstLine="480"/>
      </w:pPr>
      <w:r>
        <w:rPr>
          <w:u w:val="single"/>
        </w:rPr>
        <w:t>（……公司全称）</w:t>
      </w:r>
    </w:p>
    <w:p>
      <w:pPr>
        <w:pStyle w:val="null3"/>
        <w:ind w:firstLine="480"/>
      </w:pPr>
      <w:r>
        <w:rPr>
          <w:u w:val="single"/>
        </w:rPr>
        <w:t>（甲公司全称）、（乙公司全称）、（……公司全称）</w:t>
      </w:r>
      <w:r>
        <w:rPr/>
        <w:t>自愿组成联合体，以一个供应商的身份共同参加（采购项目名称）（采购项目编号）的响应活动。经各方充分协商一致，就项目的响应和合同实施阶段的有关事务协商一致订立协议如下：</w:t>
      </w:r>
    </w:p>
    <w:p>
      <w:pPr>
        <w:pStyle w:val="null3"/>
        <w:ind w:firstLine="480"/>
      </w:pPr>
      <w:r>
        <w:rPr/>
        <w:t>一、联合体各方关系</w:t>
      </w:r>
    </w:p>
    <w:p>
      <w:pPr>
        <w:pStyle w:val="null3"/>
        <w:ind w:firstLine="480"/>
      </w:pPr>
      <w:r>
        <w:rPr>
          <w:u w:val="single"/>
        </w:rPr>
        <w:t>（甲公司全称）、（乙公司全称）、（……公司全称）</w:t>
      </w:r>
      <w:r>
        <w:rPr/>
        <w:t>共同组成一个联合体，以一个供应商的身份共同参加本项目的响应。（甲公司全称）、（乙公司全称）、（……公司全称）作为联合体成员，若成交，联合体各方共同与（采购人）签订政府采购合同。</w:t>
      </w:r>
    </w:p>
    <w:p>
      <w:pPr>
        <w:pStyle w:val="null3"/>
        <w:ind w:firstLine="480"/>
      </w:pPr>
      <w:r>
        <w:rPr/>
        <w:t>二、联合体内部有关事项约定如下：</w:t>
      </w:r>
    </w:p>
    <w:p>
      <w:pPr>
        <w:pStyle w:val="null3"/>
        <w:ind w:firstLine="480"/>
      </w:pPr>
      <w:r>
        <w:rPr/>
        <w:t>1.（甲公司全称）作为联合体的牵头单位，代表联合体双方负责响应和合同实施阶段的主办、协调工作。</w:t>
      </w:r>
    </w:p>
    <w:p>
      <w:pPr>
        <w:pStyle w:val="null3"/>
        <w:ind w:firstLine="480"/>
      </w:pPr>
      <w:r>
        <w:rPr/>
        <w:t>2.联合体将严格按照文件的各项要求，递交响应文件，切实执行一切合同文件，共同承担合同规定的一切义务和责任，同时按照内部职责的划分，承担自身所负的责任和风险，在法律上承担连带责任。</w:t>
      </w:r>
    </w:p>
    <w:p>
      <w:pPr>
        <w:pStyle w:val="null3"/>
        <w:ind w:firstLine="480"/>
      </w:pPr>
      <w:r>
        <w:rPr/>
        <w:t>3.如果本联合体成交，（甲公司全称）负责本项目___________部分，（乙公司全称）负责本项目___________部分。</w:t>
      </w:r>
    </w:p>
    <w:p>
      <w:pPr>
        <w:pStyle w:val="null3"/>
        <w:ind w:firstLine="480"/>
      </w:pPr>
      <w:r>
        <w:rPr/>
        <w:t>4.如成交，联合体各方共同与（采购人）签订合同书，并就成交项目向采购人负责有连带的和各自的法律责任；</w:t>
      </w:r>
    </w:p>
    <w:p>
      <w:pPr>
        <w:pStyle w:val="null3"/>
        <w:ind w:firstLine="480"/>
      </w:pPr>
      <w:r>
        <w:rPr/>
        <w:t>5.联合体成员（公司全称）为（请填写：小型、微型）企业，将承担合同总金额____%的工作内容（联合体成员中有小型、微型企业时适用）。</w:t>
      </w:r>
    </w:p>
    <w:p>
      <w:pPr>
        <w:pStyle w:val="null3"/>
        <w:ind w:firstLine="480"/>
      </w:pPr>
      <w:r>
        <w:rPr/>
        <w:t xml:space="preserve"> 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pStyle w:val="null3"/>
        <w:ind w:firstLine="480"/>
      </w:pPr>
      <w:r>
        <w:rPr/>
        <w:t>四、联合体如因违约过失责任而导致采购人经济损失或被索赔时，本联合体任何一方均同意无条件优先清偿采购人的一切债务和经济赔偿。</w:t>
      </w:r>
    </w:p>
    <w:p>
      <w:pPr>
        <w:pStyle w:val="null3"/>
        <w:ind w:firstLine="480"/>
      </w:pPr>
      <w:r>
        <w:rPr/>
        <w:t>五、本协议在自签署之日起生效，有效期内有效，如获成交资格，合同有效期延续至合同履行完毕之日。</w:t>
      </w:r>
    </w:p>
    <w:p>
      <w:pPr>
        <w:pStyle w:val="null3"/>
        <w:ind w:firstLine="480"/>
      </w:pPr>
      <w:r>
        <w:rPr/>
        <w:t>六、本协议书正本一式____份，随响应文件装订____份，送采购人____份，联合体成员各一份；副本一式____份，联合体成员各执____份。</w:t>
      </w:r>
    </w:p>
    <w:p>
      <w:pPr>
        <w:pStyle w:val="null3"/>
        <w:jc w:val="right"/>
      </w:pPr>
      <w:r>
        <w:rPr/>
        <w:t xml:space="preserve"> 甲公司全称：____（盖章）________，乙公司全称：____（盖章）________，……公司全称：____（盖章）________，</w:t>
      </w:r>
    </w:p>
    <w:p>
      <w:pPr>
        <w:pStyle w:val="null3"/>
        <w:jc w:val="right"/>
      </w:pPr>
      <w:r>
        <w:rPr/>
        <w:t xml:space="preserve"> ____年____月 ____日，____年____月____日，____年____月____日</w:t>
      </w:r>
    </w:p>
    <w:p>
      <w:pPr>
        <w:pStyle w:val="null3"/>
        <w:ind w:firstLine="480"/>
      </w:pPr>
      <w:r>
        <w:rPr/>
        <w:t>注：1．联合响应时需签本协议，联合体各方成员应在本协议上共同盖章确认。</w:t>
      </w:r>
    </w:p>
    <w:p>
      <w:pPr>
        <w:pStyle w:val="null3"/>
        <w:ind w:firstLine="480"/>
      </w:pPr>
      <w:r>
        <w:rPr/>
        <w:t>2．本协议内容不得擅自修改。此协议将作为签订合同的附件之一。</w:t>
      </w:r>
    </w:p>
    <w:p>
      <w:pPr>
        <w:pStyle w:val="null3"/>
        <w:ind w:firstLine="480"/>
      </w:pPr>
      <w:r>
        <w:rPr/>
        <w:t xml:space="preserve">  </w:t>
      </w:r>
    </w:p>
    <w:p>
      <w:pPr>
        <w:pStyle w:val="null3"/>
        <w:outlineLvl w:val="2"/>
      </w:pPr>
      <w:r>
        <w:rPr>
          <w:sz w:val="28"/>
          <w:b/>
        </w:rPr>
        <w:t>格式十五：</w:t>
      </w:r>
    </w:p>
    <w:p>
      <w:pPr>
        <w:pStyle w:val="null3"/>
        <w:ind w:firstLine="480"/>
      </w:pPr>
      <w:r>
        <w:rPr/>
        <w:t>（以下格式文件由供应商根据需要选用）</w:t>
      </w:r>
    </w:p>
    <w:p>
      <w:pPr>
        <w:pStyle w:val="null3"/>
        <w:jc w:val="center"/>
        <w:outlineLvl w:val="3"/>
      </w:pPr>
      <w:r>
        <w:rPr>
          <w:sz w:val="24"/>
          <w:b/>
        </w:rPr>
        <w:t>响应供应商业绩情况表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t>序号</w:t>
            </w:r>
          </w:p>
        </w:tc>
        <w:tc>
          <w:tcPr>
            <w:tcW w:type="dxa" w:w="1384"/>
          </w:tcPr>
          <w:p>
            <w:pPr>
              <w:pStyle w:val="null3"/>
            </w:pPr>
            <w:r>
              <w:rPr/>
              <w:t>客户名称</w:t>
            </w:r>
          </w:p>
        </w:tc>
        <w:tc>
          <w:tcPr>
            <w:tcW w:type="dxa" w:w="1384"/>
          </w:tcPr>
          <w:p>
            <w:pPr>
              <w:pStyle w:val="null3"/>
            </w:pPr>
            <w:r>
              <w:rPr/>
              <w:t>项目名称及合同金额（万元）</w:t>
            </w:r>
          </w:p>
        </w:tc>
        <w:tc>
          <w:tcPr>
            <w:tcW w:type="dxa" w:w="1384"/>
          </w:tcPr>
          <w:p>
            <w:pPr>
              <w:pStyle w:val="null3"/>
            </w:pPr>
            <w:r>
              <w:rPr/>
              <w:t>签订合同时间</w:t>
            </w:r>
          </w:p>
        </w:tc>
        <w:tc>
          <w:tcPr>
            <w:tcW w:type="dxa" w:w="1384"/>
          </w:tcPr>
          <w:p>
            <w:pPr>
              <w:pStyle w:val="null3"/>
            </w:pPr>
            <w:r>
              <w:rPr/>
              <w:t>竣工验收报告时间</w:t>
            </w:r>
          </w:p>
        </w:tc>
        <w:tc>
          <w:tcPr>
            <w:tcW w:type="dxa" w:w="1384"/>
          </w:tcPr>
          <w:p>
            <w:pPr>
              <w:pStyle w:val="null3"/>
            </w:pPr>
            <w:r>
              <w:rPr/>
              <w:t>联系人及电话</w:t>
            </w:r>
          </w:p>
        </w:tc>
      </w:tr>
      <w:tr>
        <w:tc>
          <w:tcPr>
            <w:tcW w:type="dxa" w:w="1384"/>
          </w:tcPr>
          <w:p>
            <w:pPr>
              <w:pStyle w:val="null3"/>
              <w:jc w:val="center"/>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jc w:val="center"/>
            </w:pPr>
            <w:r>
              <w:rPr/>
              <w:t xml:space="preserve"> 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jc w:val="center"/>
            </w:pPr>
            <w:r>
              <w:rPr/>
              <w:t xml:space="preserve"> 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jc w:val="center"/>
            </w:pPr>
            <w:r>
              <w:rPr/>
              <w:t xml:space="preserve"> 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w:t>
            </w:r>
          </w:p>
        </w:tc>
        <w:tc>
          <w:tcPr>
            <w:tcW w:type="dxa" w:w="1384"/>
          </w:tcPr>
          <w:p/>
        </w:tc>
        <w:tc>
          <w:tcPr>
            <w:tcW w:type="dxa" w:w="1384"/>
          </w:tcPr>
          <w:p/>
        </w:tc>
        <w:tc>
          <w:tcPr>
            <w:tcW w:type="dxa" w:w="1384"/>
          </w:tcPr>
          <w:p/>
        </w:tc>
        <w:tc>
          <w:tcPr>
            <w:tcW w:type="dxa" w:w="1384"/>
          </w:tcPr>
          <w:p/>
        </w:tc>
        <w:tc>
          <w:tcPr>
            <w:tcW w:type="dxa" w:w="1384"/>
          </w:tcPr>
          <w:p/>
        </w:tc>
      </w:tr>
    </w:tbl>
    <w:p>
      <w:pPr>
        <w:pStyle w:val="null3"/>
        <w:ind w:firstLine="480"/>
      </w:pPr>
      <w:r>
        <w:rPr/>
        <w:t>根据上述业绩情况，按磋商文件要求附销售或服务合同复印件。</w:t>
      </w:r>
    </w:p>
    <w:p>
      <w:pPr>
        <w:pStyle w:val="null3"/>
        <w:ind w:firstLine="480"/>
      </w:pPr>
      <w:r>
        <w:rPr/>
        <w:t xml:space="preserve">  </w:t>
      </w:r>
    </w:p>
    <w:p>
      <w:pPr>
        <w:pStyle w:val="null3"/>
        <w:outlineLvl w:val="2"/>
      </w:pPr>
      <w:r>
        <w:rPr>
          <w:sz w:val="28"/>
          <w:b/>
        </w:rPr>
        <w:t>格式十六：</w:t>
      </w:r>
    </w:p>
    <w:p>
      <w:pPr>
        <w:pStyle w:val="null3"/>
        <w:jc w:val="center"/>
        <w:outlineLvl w:val="3"/>
      </w:pPr>
      <w:r>
        <w:rPr>
          <w:sz w:val="24"/>
          <w:b/>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pPr>
              <w:pStyle w:val="null3"/>
            </w:pPr>
            <w:r>
              <w:rPr/>
              <w:t>序号</w:t>
            </w:r>
          </w:p>
        </w:tc>
        <w:tc>
          <w:tcPr>
            <w:tcW w:type="dxa" w:w="923"/>
          </w:tcPr>
          <w:p>
            <w:pPr>
              <w:pStyle w:val="null3"/>
            </w:pPr>
            <w:r>
              <w:rPr/>
              <w:t>标的名称</w:t>
            </w:r>
          </w:p>
        </w:tc>
        <w:tc>
          <w:tcPr>
            <w:tcW w:type="dxa" w:w="923"/>
          </w:tcPr>
          <w:p>
            <w:pPr>
              <w:pStyle w:val="null3"/>
            </w:pPr>
            <w:r>
              <w:rPr/>
              <w:t>参数性质</w:t>
            </w:r>
          </w:p>
        </w:tc>
        <w:tc>
          <w:tcPr>
            <w:tcW w:type="dxa" w:w="923"/>
          </w:tcPr>
          <w:p>
            <w:pPr>
              <w:pStyle w:val="null3"/>
            </w:pPr>
            <w:r>
              <w:rPr/>
              <w:t>磋商文件规定的技术和服务要求</w:t>
            </w:r>
          </w:p>
        </w:tc>
        <w:tc>
          <w:tcPr>
            <w:tcW w:type="dxa" w:w="923"/>
          </w:tcPr>
          <w:p>
            <w:pPr>
              <w:pStyle w:val="null3"/>
            </w:pPr>
            <w:r>
              <w:rPr/>
              <w:t>响应文件响应的具体内容</w:t>
            </w:r>
          </w:p>
        </w:tc>
        <w:tc>
          <w:tcPr>
            <w:tcW w:type="dxa" w:w="923"/>
          </w:tcPr>
          <w:p>
            <w:pPr>
              <w:pStyle w:val="null3"/>
            </w:pPr>
            <w:r>
              <w:rPr/>
              <w:t>型号</w:t>
            </w:r>
          </w:p>
        </w:tc>
        <w:tc>
          <w:tcPr>
            <w:tcW w:type="dxa" w:w="923"/>
          </w:tcPr>
          <w:p>
            <w:pPr>
              <w:pStyle w:val="null3"/>
            </w:pPr>
            <w:r>
              <w:rPr/>
              <w:t>是否偏离</w:t>
            </w:r>
          </w:p>
        </w:tc>
        <w:tc>
          <w:tcPr>
            <w:tcW w:type="dxa" w:w="923"/>
          </w:tcPr>
          <w:p>
            <w:pPr>
              <w:pStyle w:val="null3"/>
            </w:pPr>
            <w:r>
              <w:rPr/>
              <w:t>证明文件所在位置</w:t>
            </w:r>
          </w:p>
        </w:tc>
        <w:tc>
          <w:tcPr>
            <w:tcW w:type="dxa" w:w="923"/>
          </w:tcPr>
          <w:p>
            <w:pPr>
              <w:pStyle w:val="null3"/>
            </w:pPr>
            <w:r>
              <w:rPr/>
              <w:t>备注</w:t>
            </w:r>
          </w:p>
        </w:tc>
      </w:tr>
      <w:tr>
        <w:tc>
          <w:tcPr>
            <w:tcW w:type="dxa" w:w="923"/>
          </w:tcPr>
          <w:p>
            <w:pPr>
              <w:pStyle w:val="null3"/>
            </w:pPr>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pStyle w:val="null3"/>
        <w:ind w:firstLine="480"/>
      </w:pPr>
      <w:r>
        <w:rPr/>
        <w:t>说明：</w:t>
      </w:r>
    </w:p>
    <w:p>
      <w:pPr>
        <w:pStyle w:val="null3"/>
        <w:ind w:firstLine="480"/>
      </w:pPr>
      <w:r>
        <w:rPr/>
        <w:t>1.“磋商文件规定的技术和服务要求”项下填写的内容应与磋商文件中采购需求的 “技术要求”的内容保持一致。供应商应当如实填写上表“响应文件响应的具体内容”处内容，对磋商文件提出的要求和条件作出明确响应，并列明具体响应数值或内容，只注明符合、满足等无具体内容表述的，将视为未实质性满足磋商文件要求。供应商需要说明的内容若需特殊表达，应先在本表中进行相应说明，再另页应答，否则</w:t>
      </w:r>
      <w:r>
        <w:rPr>
          <w:b/>
        </w:rPr>
        <w:t>响应无效</w:t>
      </w:r>
      <w:r>
        <w:rPr/>
        <w:t>。</w:t>
      </w:r>
    </w:p>
    <w:p>
      <w:pPr>
        <w:pStyle w:val="null3"/>
        <w:ind w:firstLine="480"/>
      </w:pPr>
      <w:r>
        <w:rPr/>
        <w:t>2.参数性质栏标注“★”、“▲”号条款标志， 打“★”号条款为实质性条款，若有任何一条负偏离或不满足则导致响应无效。打“▲”号条款为重要技术参数（如有），若有部分“▲”条款未响应或不满足，将根据评审要求影响其得分，但不作为无效响应条款。</w:t>
      </w:r>
    </w:p>
    <w:p>
      <w:pPr>
        <w:pStyle w:val="null3"/>
        <w:ind w:firstLine="480"/>
      </w:pPr>
      <w:r>
        <w:rPr/>
        <w:t>3.“是否偏离”项下应按下列规定填写：优于的，填写“正偏离”；符合的，填写“无偏离”；低于的，填写“负偏离”。</w:t>
      </w:r>
    </w:p>
    <w:p>
      <w:pPr>
        <w:pStyle w:val="null3"/>
        <w:ind w:firstLine="480"/>
      </w:pPr>
      <w:r>
        <w:rPr/>
        <w:t>4.“备注”处可填写偏离情况的说明。</w:t>
      </w:r>
    </w:p>
    <w:p>
      <w:pPr>
        <w:pStyle w:val="null3"/>
        <w:ind w:firstLine="480"/>
      </w:pPr>
      <w:r>
        <w:rPr/>
        <w:t xml:space="preserve">  </w:t>
      </w:r>
    </w:p>
    <w:p>
      <w:pPr>
        <w:pStyle w:val="null3"/>
        <w:outlineLvl w:val="2"/>
      </w:pPr>
      <w:r>
        <w:rPr>
          <w:sz w:val="28"/>
          <w:b/>
        </w:rPr>
        <w:t>格式十七：</w:t>
      </w:r>
    </w:p>
    <w:p>
      <w:pPr>
        <w:pStyle w:val="null3"/>
        <w:jc w:val="center"/>
        <w:outlineLvl w:val="3"/>
      </w:pPr>
      <w:r>
        <w:rPr>
          <w:sz w:val="24"/>
          <w:b/>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pPr>
              <w:pStyle w:val="null3"/>
            </w:pPr>
            <w:r>
              <w:rPr/>
              <w:t xml:space="preserve"> 序号</w:t>
            </w:r>
          </w:p>
        </w:tc>
        <w:tc>
          <w:tcPr>
            <w:tcW w:type="dxa" w:w="1187"/>
          </w:tcPr>
          <w:p>
            <w:pPr>
              <w:pStyle w:val="null3"/>
            </w:pPr>
            <w:r>
              <w:rPr/>
              <w:t xml:space="preserve"> 参数性质</w:t>
            </w:r>
          </w:p>
        </w:tc>
        <w:tc>
          <w:tcPr>
            <w:tcW w:type="dxa" w:w="1187"/>
          </w:tcPr>
          <w:p>
            <w:pPr>
              <w:pStyle w:val="null3"/>
            </w:pPr>
            <w:r>
              <w:rPr/>
              <w:t xml:space="preserve"> 磋商文件规定的商务条件</w:t>
            </w:r>
          </w:p>
        </w:tc>
        <w:tc>
          <w:tcPr>
            <w:tcW w:type="dxa" w:w="1187"/>
          </w:tcPr>
          <w:p>
            <w:pPr>
              <w:pStyle w:val="null3"/>
            </w:pPr>
            <w:r>
              <w:rPr/>
              <w:t xml:space="preserve"> 响应文件响应的具体内容</w:t>
            </w:r>
          </w:p>
        </w:tc>
        <w:tc>
          <w:tcPr>
            <w:tcW w:type="dxa" w:w="1187"/>
          </w:tcPr>
          <w:p>
            <w:pPr>
              <w:pStyle w:val="null3"/>
            </w:pPr>
            <w:r>
              <w:rPr/>
              <w:t xml:space="preserve"> 是否偏离</w:t>
            </w:r>
          </w:p>
        </w:tc>
        <w:tc>
          <w:tcPr>
            <w:tcW w:type="dxa" w:w="1187"/>
          </w:tcPr>
          <w:p>
            <w:pPr>
              <w:pStyle w:val="null3"/>
            </w:pPr>
            <w:r>
              <w:rPr/>
              <w:t xml:space="preserve"> 证明文件所在位置</w:t>
            </w:r>
          </w:p>
        </w:tc>
        <w:tc>
          <w:tcPr>
            <w:tcW w:type="dxa" w:w="1187"/>
          </w:tcPr>
          <w:p>
            <w:pPr>
              <w:pStyle w:val="null3"/>
            </w:pPr>
            <w:r>
              <w:rPr/>
              <w:t xml:space="preserve"> 备注</w:t>
            </w:r>
          </w:p>
        </w:tc>
      </w:tr>
      <w:tr>
        <w:tc>
          <w:tcPr>
            <w:tcW w:type="dxa" w:w="1187"/>
          </w:tcPr>
          <w:p>
            <w:pPr>
              <w:pStyle w:val="null3"/>
              <w:jc w:val="center"/>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jc w:val="center"/>
            </w:pPr>
            <w:r>
              <w:rPr/>
              <w:t xml:space="preserve"> ……</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pStyle w:val="null3"/>
        <w:ind w:firstLine="480"/>
      </w:pPr>
      <w:r>
        <w:rPr/>
        <w:t>说明：</w:t>
      </w:r>
    </w:p>
    <w:p>
      <w:pPr>
        <w:pStyle w:val="null3"/>
        <w:ind w:firstLine="480"/>
      </w:pPr>
      <w:r>
        <w:rPr/>
        <w:t>1.“磋商文件规定的商务条件”项下填写的内容应与磋商文件中采购需求的 “商务要求”的内容保持一致。</w:t>
      </w:r>
    </w:p>
    <w:p>
      <w:pPr>
        <w:pStyle w:val="null3"/>
        <w:ind w:firstLine="480"/>
      </w:pPr>
      <w:r>
        <w:rPr/>
        <w:t xml:space="preserve"> 2.供应商应当如实填写上表“响应文件响应的具体内容”处内容，对磋商文件规定的商务条件作出明确响应，并列明具体响应数值或内容，只注明符合、满足等无具体内容表述的，将视为未实质性满足磋商文件要求。供应商需要说明的内容若需特殊表达，应先在本表中进行相应说明，再另页应答，否则</w:t>
      </w:r>
      <w:r>
        <w:rPr>
          <w:b/>
        </w:rPr>
        <w:t>响应无效</w:t>
      </w:r>
      <w:r>
        <w:rPr/>
        <w:t>。</w:t>
      </w:r>
    </w:p>
    <w:p>
      <w:pPr>
        <w:pStyle w:val="null3"/>
        <w:ind w:firstLine="480"/>
      </w:pPr>
      <w:r>
        <w:rPr/>
        <w:t>3.参数性质栏标注“★”、“▲”号条款标志， 打“★”号条款为实质性条款，若有任何一条负偏离或不满足则导致响应无效。打“▲”号条款为重要技术参数（如有），若有部分“▲”条款未响应或不满足，将根据评审要求影响其得分，但不作为无效响应条款。</w:t>
      </w:r>
    </w:p>
    <w:p>
      <w:pPr>
        <w:pStyle w:val="null3"/>
        <w:ind w:firstLine="480"/>
      </w:pPr>
      <w:r>
        <w:rPr/>
        <w:t>4.“是否偏离”项下应按下列规定填写：优于的，填写“正偏离”；符合的，填写“无偏离”；低于的，填写“负偏离”。</w:t>
      </w:r>
    </w:p>
    <w:p>
      <w:pPr>
        <w:pStyle w:val="null3"/>
        <w:ind w:firstLine="480"/>
      </w:pPr>
      <w:r>
        <w:rPr/>
        <w:t>5.“备注”处可填写偏离情况的说明。</w:t>
      </w:r>
    </w:p>
    <w:p>
      <w:pPr>
        <w:pStyle w:val="null3"/>
        <w:ind w:firstLine="480"/>
      </w:pPr>
      <w:r>
        <w:rPr/>
        <w:t xml:space="preserve">  </w:t>
      </w:r>
    </w:p>
    <w:p>
      <w:pPr>
        <w:pStyle w:val="null3"/>
        <w:outlineLvl w:val="2"/>
      </w:pPr>
      <w:r>
        <w:rPr>
          <w:sz w:val="28"/>
          <w:b/>
        </w:rPr>
        <w:t>格式十八：</w:t>
      </w:r>
    </w:p>
    <w:p>
      <w:pPr>
        <w:pStyle w:val="null3"/>
        <w:ind w:firstLine="480"/>
      </w:pPr>
      <w:r>
        <w:rPr/>
        <w:t>（以下格式文件由供应商根据需要选用）</w:t>
      </w:r>
    </w:p>
    <w:p>
      <w:pPr>
        <w:pStyle w:val="null3"/>
        <w:jc w:val="center"/>
        <w:outlineLvl w:val="3"/>
      </w:pPr>
      <w:r>
        <w:rPr>
          <w:sz w:val="24"/>
          <w:b/>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t>序号</w:t>
            </w:r>
          </w:p>
        </w:tc>
        <w:tc>
          <w:tcPr>
            <w:tcW w:type="dxa" w:w="2076"/>
          </w:tcPr>
          <w:p>
            <w:pPr>
              <w:pStyle w:val="null3"/>
            </w:pPr>
            <w:r>
              <w:rPr/>
              <w:t xml:space="preserve"> 拟定时间安排</w:t>
            </w:r>
          </w:p>
        </w:tc>
        <w:tc>
          <w:tcPr>
            <w:tcW w:type="dxa" w:w="2076"/>
          </w:tcPr>
          <w:p>
            <w:pPr>
              <w:pStyle w:val="null3"/>
            </w:pPr>
            <w:r>
              <w:rPr/>
              <w:t xml:space="preserve"> 计划完成的工作内容</w:t>
            </w:r>
          </w:p>
        </w:tc>
        <w:tc>
          <w:tcPr>
            <w:tcW w:type="dxa" w:w="2076"/>
          </w:tcPr>
          <w:p>
            <w:pPr>
              <w:pStyle w:val="null3"/>
            </w:pPr>
            <w:r>
              <w:rPr/>
              <w:t xml:space="preserve"> 实施方建议或要求</w:t>
            </w:r>
          </w:p>
        </w:tc>
      </w:tr>
      <w:tr>
        <w:tc>
          <w:tcPr>
            <w:tcW w:type="dxa" w:w="2076"/>
          </w:tcPr>
          <w:p>
            <w:pPr>
              <w:pStyle w:val="null3"/>
              <w:jc w:val="center"/>
            </w:pPr>
            <w:r>
              <w:rPr/>
              <w:t xml:space="preserve"> 1</w:t>
            </w:r>
          </w:p>
        </w:tc>
        <w:tc>
          <w:tcPr>
            <w:tcW w:type="dxa" w:w="2076"/>
          </w:tcPr>
          <w:p>
            <w:pPr>
              <w:pStyle w:val="null3"/>
            </w:pPr>
            <w:r>
              <w:rPr/>
              <w:t xml:space="preserve"> 拟定___年___月___日</w:t>
            </w:r>
          </w:p>
        </w:tc>
        <w:tc>
          <w:tcPr>
            <w:tcW w:type="dxa" w:w="2076"/>
          </w:tcPr>
          <w:p>
            <w:pPr>
              <w:pStyle w:val="null3"/>
            </w:pPr>
            <w:r>
              <w:rPr/>
              <w:t xml:space="preserve"> 签订合同并生效</w:t>
            </w:r>
          </w:p>
        </w:tc>
        <w:tc>
          <w:tcPr>
            <w:tcW w:type="dxa" w:w="2076"/>
          </w:tcPr>
          <w:p/>
        </w:tc>
      </w:tr>
      <w:tr>
        <w:tc>
          <w:tcPr>
            <w:tcW w:type="dxa" w:w="2076"/>
          </w:tcPr>
          <w:p>
            <w:pPr>
              <w:pStyle w:val="null3"/>
              <w:jc w:val="center"/>
            </w:pPr>
            <w:r>
              <w:rPr/>
              <w:t xml:space="preserve"> 2</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jc w:val="center"/>
            </w:pPr>
            <w:r>
              <w:rPr/>
              <w:t xml:space="preserve"> 3</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jc w:val="center"/>
            </w:pPr>
            <w:r>
              <w:rPr/>
              <w:t xml:space="preserve"> 4</w:t>
            </w:r>
          </w:p>
        </w:tc>
        <w:tc>
          <w:tcPr>
            <w:tcW w:type="dxa" w:w="2076"/>
          </w:tcPr>
          <w:p>
            <w:pPr>
              <w:pStyle w:val="null3"/>
            </w:pPr>
            <w:r>
              <w:rPr/>
              <w:t xml:space="preserve"> ___月___日—___月___日</w:t>
            </w:r>
          </w:p>
        </w:tc>
        <w:tc>
          <w:tcPr>
            <w:tcW w:type="dxa" w:w="2076"/>
          </w:tcPr>
          <w:p>
            <w:pPr>
              <w:pStyle w:val="null3"/>
            </w:pPr>
            <w:r>
              <w:rPr/>
              <w:t xml:space="preserve"> 质保期</w:t>
            </w:r>
          </w:p>
        </w:tc>
        <w:tc>
          <w:tcPr>
            <w:tcW w:type="dxa" w:w="2076"/>
          </w:tcPr>
          <w:p/>
        </w:tc>
      </w:tr>
    </w:tbl>
    <w:p>
      <w:pPr>
        <w:pStyle w:val="null3"/>
        <w:ind w:firstLine="480"/>
      </w:pPr>
      <w:r>
        <w:rPr/>
        <w:t xml:space="preserve">  </w:t>
      </w:r>
    </w:p>
    <w:p>
      <w:pPr>
        <w:pStyle w:val="null3"/>
        <w:outlineLvl w:val="2"/>
      </w:pPr>
      <w:r>
        <w:rPr>
          <w:sz w:val="28"/>
          <w:b/>
        </w:rPr>
        <w:t>格式十九：</w:t>
      </w:r>
    </w:p>
    <w:p>
      <w:pPr>
        <w:pStyle w:val="null3"/>
        <w:ind w:firstLine="480"/>
      </w:pPr>
      <w:r>
        <w:rPr/>
        <w:t>（以下格式文件由供应商根据需要选用）</w:t>
      </w:r>
    </w:p>
    <w:p>
      <w:pPr>
        <w:pStyle w:val="null3"/>
        <w:jc w:val="center"/>
        <w:outlineLvl w:val="3"/>
      </w:pPr>
      <w:r>
        <w:rPr>
          <w:sz w:val="24"/>
          <w:b/>
        </w:rPr>
        <w:t>各类证明材料</w:t>
      </w:r>
    </w:p>
    <w:p>
      <w:pPr>
        <w:pStyle w:val="null3"/>
        <w:ind w:firstLine="480"/>
      </w:pPr>
      <w:r>
        <w:rPr/>
        <w:t>1.磋商文件要求提供的其他资料。</w:t>
      </w:r>
    </w:p>
    <w:p>
      <w:pPr>
        <w:pStyle w:val="null3"/>
        <w:ind w:firstLine="480"/>
      </w:pPr>
      <w:r>
        <w:rPr/>
        <w:t>2.供应商认为需提供的其他资料。</w:t>
      </w:r>
    </w:p>
    <w:p>
      <w:pPr>
        <w:pStyle w:val="null3"/>
        <w:ind w:firstLine="480"/>
      </w:pPr>
      <w:r>
        <w:rPr/>
        <w:t xml:space="preserve">  </w:t>
      </w:r>
    </w:p>
    <w:p>
      <w:pPr>
        <w:pStyle w:val="null3"/>
        <w:outlineLvl w:val="2"/>
      </w:pPr>
      <w:r>
        <w:rPr>
          <w:sz w:val="28"/>
          <w:b/>
        </w:rPr>
        <w:t>格式二十：</w:t>
      </w:r>
    </w:p>
    <w:p>
      <w:pPr>
        <w:pStyle w:val="null3"/>
        <w:ind w:firstLine="480"/>
      </w:pPr>
      <w:r>
        <w:rPr/>
        <w:t>（若采购人支付代理服务费，则无需出具此承诺书）</w:t>
      </w:r>
    </w:p>
    <w:p>
      <w:pPr>
        <w:pStyle w:val="null3"/>
        <w:jc w:val="center"/>
        <w:outlineLvl w:val="3"/>
      </w:pPr>
      <w:r>
        <w:rPr>
          <w:sz w:val="24"/>
          <w:b/>
        </w:rPr>
        <w:t>代理服务费缴纳承诺函</w:t>
      </w:r>
    </w:p>
    <w:p>
      <w:pPr>
        <w:pStyle w:val="null3"/>
        <w:ind w:firstLine="480"/>
      </w:pPr>
      <w:r>
        <w:rPr/>
        <w:t>致：</w:t>
      </w:r>
      <w:r>
        <w:rPr/>
        <w:t>广东省建东工程监理有限公司中山分公司</w:t>
      </w:r>
    </w:p>
    <w:p>
      <w:pPr>
        <w:pStyle w:val="null3"/>
        <w:ind w:firstLine="480"/>
      </w:pPr>
      <w:r>
        <w:rPr/>
        <w:t>我单位参加贵公司组织的</w:t>
      </w:r>
      <w:r>
        <w:rPr/>
        <w:t>民众街道多宝路段和阳光大道等路段违法抓拍系统及交通信号灯后台建设项目</w:t>
      </w:r>
      <w:r>
        <w:rPr/>
        <w:t>（采购项目编号：</w:t>
      </w:r>
      <w:r>
        <w:rPr/>
        <w:t>ZSJD24ZC0074</w:t>
      </w:r>
      <w:r>
        <w:rPr/>
        <w:t>），作出如下承诺：</w:t>
      </w:r>
    </w:p>
    <w:p>
      <w:pPr>
        <w:pStyle w:val="null3"/>
        <w:ind w:firstLine="480"/>
      </w:pPr>
      <w:r>
        <w:rPr/>
        <w:t>1、完全响应磋商文件中要求的条款，若提供虚假资料将作为无效响应处理，并接受相关部门的处罚。</w:t>
      </w:r>
    </w:p>
    <w:p>
      <w:pPr>
        <w:pStyle w:val="null3"/>
        <w:ind w:firstLine="480"/>
      </w:pPr>
      <w:r>
        <w:rPr/>
        <w:t xml:space="preserve"> 2、我单位若被选为成交供应商，承诺按照规定缴纳代理服务费。代理服务费包括组织专家对审查供应商资格、答疑、组织磋商、评审、确定成交供应商，以及提供采购前期咨询、协调合同的签订等服务，按______支付。</w:t>
      </w:r>
    </w:p>
    <w:p>
      <w:pPr>
        <w:pStyle w:val="null3"/>
        <w:ind w:firstLine="480"/>
      </w:pPr>
      <w:r>
        <w:rPr/>
        <w:t>3、如我公司被选为成交供应商，在成交结果公示后3日内向采购代理机构指定账户缴付代理服务费。</w:t>
      </w:r>
    </w:p>
    <w:p>
      <w:pPr>
        <w:pStyle w:val="null3"/>
        <w:ind w:firstLine="480"/>
      </w:pPr>
      <w:r>
        <w:rPr/>
        <w:t>特此承诺！</w:t>
      </w:r>
    </w:p>
    <w:p>
      <w:pPr>
        <w:pStyle w:val="null3"/>
        <w:jc w:val="right"/>
      </w:pPr>
      <w:r>
        <w:rPr/>
        <w:t>供应商法定名称（公章）；_____________________</w:t>
      </w:r>
    </w:p>
    <w:p>
      <w:pPr>
        <w:pStyle w:val="null3"/>
        <w:jc w:val="right"/>
      </w:pPr>
      <w:r>
        <w:rPr/>
        <w:t>供应商法定地址：_____________________</w:t>
      </w:r>
    </w:p>
    <w:p>
      <w:pPr>
        <w:pStyle w:val="null3"/>
        <w:jc w:val="right"/>
      </w:pPr>
      <w:r>
        <w:rPr/>
        <w:t>供应商授权代表（签字或盖章）：_____________________</w:t>
      </w:r>
    </w:p>
    <w:p>
      <w:pPr>
        <w:pStyle w:val="null3"/>
        <w:jc w:val="right"/>
      </w:pPr>
      <w:r>
        <w:rPr/>
        <w:t>电 话：_____________________</w:t>
      </w:r>
    </w:p>
    <w:p>
      <w:pPr>
        <w:pStyle w:val="null3"/>
        <w:jc w:val="right"/>
      </w:pPr>
      <w:r>
        <w:rPr/>
        <w:t>传 真：_____________________</w:t>
      </w:r>
    </w:p>
    <w:p>
      <w:pPr>
        <w:pStyle w:val="null3"/>
        <w:jc w:val="right"/>
      </w:pPr>
      <w:r>
        <w:rPr/>
        <w:t>承诺日期：_____________________</w:t>
      </w:r>
    </w:p>
    <w:p>
      <w:pPr>
        <w:pStyle w:val="null3"/>
        <w:ind w:firstLine="480"/>
      </w:pPr>
      <w:r>
        <w:rPr/>
        <w:t xml:space="preserve">  </w:t>
      </w:r>
    </w:p>
    <w:p>
      <w:pPr>
        <w:pStyle w:val="null3"/>
        <w:outlineLvl w:val="2"/>
      </w:pPr>
      <w:r>
        <w:rPr>
          <w:sz w:val="28"/>
          <w:b/>
        </w:rPr>
        <w:t>格式二十一：</w:t>
      </w:r>
    </w:p>
    <w:p>
      <w:pPr>
        <w:pStyle w:val="null3"/>
        <w:ind w:firstLine="480"/>
      </w:pPr>
      <w:r>
        <w:rPr/>
        <w:t>（以下格式文件由供应商根据需要选用）</w:t>
      </w:r>
    </w:p>
    <w:p>
      <w:pPr>
        <w:pStyle w:val="null3"/>
        <w:jc w:val="center"/>
        <w:outlineLvl w:val="3"/>
      </w:pPr>
      <w:r>
        <w:rPr>
          <w:sz w:val="24"/>
          <w:b/>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序号</w:t>
            </w:r>
          </w:p>
        </w:tc>
        <w:tc>
          <w:tcPr>
            <w:tcW w:type="dxa" w:w="4153"/>
          </w:tcPr>
          <w:p>
            <w:pPr>
              <w:pStyle w:val="null3"/>
            </w:pPr>
            <w:r>
              <w:rPr/>
              <w:t>供应商需要采购人提供的附加条件</w:t>
            </w:r>
          </w:p>
        </w:tc>
      </w:tr>
      <w:tr>
        <w:tc>
          <w:tcPr>
            <w:tcW w:type="dxa" w:w="4153"/>
          </w:tcPr>
          <w:p>
            <w:pPr>
              <w:pStyle w:val="null3"/>
              <w:jc w:val="center"/>
            </w:pPr>
            <w:r>
              <w:rPr/>
              <w:t xml:space="preserve"> 1</w:t>
            </w:r>
          </w:p>
        </w:tc>
        <w:tc>
          <w:tcPr>
            <w:tcW w:type="dxa" w:w="4153"/>
          </w:tcPr>
          <w:p/>
        </w:tc>
      </w:tr>
      <w:tr>
        <w:tc>
          <w:tcPr>
            <w:tcW w:type="dxa" w:w="4153"/>
          </w:tcPr>
          <w:p>
            <w:pPr>
              <w:pStyle w:val="null3"/>
              <w:jc w:val="center"/>
            </w:pPr>
            <w:r>
              <w:rPr/>
              <w:t xml:space="preserve"> 2</w:t>
            </w:r>
          </w:p>
        </w:tc>
        <w:tc>
          <w:tcPr>
            <w:tcW w:type="dxa" w:w="4153"/>
          </w:tcPr>
          <w:p/>
        </w:tc>
      </w:tr>
      <w:tr>
        <w:tc>
          <w:tcPr>
            <w:tcW w:type="dxa" w:w="4153"/>
          </w:tcPr>
          <w:p>
            <w:pPr>
              <w:pStyle w:val="null3"/>
              <w:jc w:val="center"/>
            </w:pPr>
            <w:r>
              <w:rPr/>
              <w:t xml:space="preserve"> 3</w:t>
            </w:r>
          </w:p>
        </w:tc>
        <w:tc>
          <w:tcPr>
            <w:tcW w:type="dxa" w:w="4153"/>
          </w:tcPr>
          <w:p/>
        </w:tc>
      </w:tr>
    </w:tbl>
    <w:p>
      <w:pPr>
        <w:pStyle w:val="null3"/>
        <w:ind w:firstLine="480"/>
      </w:pPr>
      <w:r>
        <w:rPr/>
        <w:t>注：供应商完成本项目需要采购人配合或提供的条件必须在上表列出，否则将视为供应商同意按现有条件完成本项目。如上表所列附加条件含有采购人不能接受的，将被视为响应无效。</w:t>
      </w:r>
    </w:p>
    <w:p>
      <w:pPr>
        <w:pStyle w:val="null3"/>
        <w:ind w:firstLine="480"/>
      </w:pPr>
      <w:r>
        <w:rPr/>
        <w:t xml:space="preserve">  </w:t>
      </w:r>
    </w:p>
    <w:p>
      <w:pPr>
        <w:pStyle w:val="null3"/>
        <w:outlineLvl w:val="2"/>
      </w:pPr>
      <w:r>
        <w:rPr>
          <w:sz w:val="28"/>
          <w:b/>
        </w:rPr>
        <w:t>格式二十二：</w:t>
      </w:r>
    </w:p>
    <w:p>
      <w:pPr>
        <w:pStyle w:val="null3"/>
        <w:ind w:firstLine="480"/>
      </w:pPr>
      <w:r>
        <w:rPr/>
        <w:t>（以下格式文件由供应商根据需要选用）</w:t>
      </w:r>
    </w:p>
    <w:p>
      <w:pPr>
        <w:pStyle w:val="null3"/>
        <w:jc w:val="center"/>
        <w:outlineLvl w:val="3"/>
      </w:pPr>
      <w:r>
        <w:rPr>
          <w:sz w:val="24"/>
          <w:b/>
        </w:rPr>
        <w:t>询问函、质疑函、投诉书格式</w:t>
      </w:r>
    </w:p>
    <w:p>
      <w:pPr>
        <w:pStyle w:val="null3"/>
        <w:ind w:firstLine="480"/>
      </w:pPr>
      <w:r>
        <w:rPr/>
        <w:t>说明：本部分格式为供应商提交询问函、质疑函、投诉函时使用，不属于响应文件格式的组成部分。</w:t>
      </w:r>
    </w:p>
    <w:p>
      <w:pPr>
        <w:pStyle w:val="null3"/>
        <w:jc w:val="center"/>
        <w:outlineLvl w:val="3"/>
      </w:pPr>
      <w:r>
        <w:rPr>
          <w:sz w:val="24"/>
          <w:b/>
        </w:rPr>
        <w:t>询问函</w:t>
      </w:r>
    </w:p>
    <w:p>
      <w:pPr>
        <w:pStyle w:val="null3"/>
        <w:ind w:firstLine="480"/>
      </w:pPr>
      <w:r>
        <w:rPr/>
        <w:t>广东省建东工程监理有限公司中山分公司</w:t>
      </w:r>
    </w:p>
    <w:p>
      <w:pPr>
        <w:pStyle w:val="null3"/>
        <w:ind w:firstLine="480"/>
      </w:pPr>
      <w:r>
        <w:rPr/>
        <w:t>我单位已登记并准备参与“</w:t>
      </w:r>
      <w:r>
        <w:rPr/>
        <w:t>民众街道多宝路段和阳光大道等路段违法抓拍系统及交通信号灯后台建设项目</w:t>
      </w:r>
      <w:r>
        <w:rPr/>
        <w:t>”项目（采购项目编号：</w:t>
      </w:r>
      <w:r>
        <w:rPr/>
        <w:t>ZSJD24ZC0074</w:t>
      </w:r>
      <w:r>
        <w:rPr/>
        <w:t xml:space="preserve"> ）的响应活动，现有以下几个内容（或条款）存在疑问（或无法理解），特提出询问。</w:t>
      </w:r>
    </w:p>
    <w:p>
      <w:pPr>
        <w:pStyle w:val="null3"/>
        <w:ind w:firstLine="480"/>
      </w:pPr>
      <w:r>
        <w:rPr/>
        <w:t>一、_____________________（事项一）</w:t>
      </w:r>
    </w:p>
    <w:p>
      <w:pPr>
        <w:pStyle w:val="null3"/>
        <w:ind w:firstLine="480"/>
      </w:pPr>
      <w:r>
        <w:rPr/>
        <w:t>（1）____________________（问题或条款内容）</w:t>
      </w:r>
    </w:p>
    <w:p>
      <w:pPr>
        <w:pStyle w:val="null3"/>
        <w:ind w:firstLine="480"/>
      </w:pPr>
      <w:r>
        <w:rPr/>
        <w:t>（2）____________________（说明疑问或无法理解原因）</w:t>
      </w:r>
    </w:p>
    <w:p>
      <w:pPr>
        <w:pStyle w:val="null3"/>
        <w:ind w:firstLine="480"/>
      </w:pPr>
      <w:r>
        <w:rPr/>
        <w:t>（3）____________________（建议）</w:t>
      </w:r>
    </w:p>
    <w:p>
      <w:pPr>
        <w:pStyle w:val="null3"/>
        <w:ind w:firstLine="480"/>
      </w:pPr>
      <w:r>
        <w:rPr/>
        <w:t>二、_____________________（事项二）</w:t>
      </w:r>
    </w:p>
    <w:p>
      <w:pPr>
        <w:pStyle w:val="null3"/>
        <w:ind w:firstLine="480"/>
      </w:pPr>
      <w:r>
        <w:rPr/>
        <w:t>...</w:t>
      </w:r>
    </w:p>
    <w:p>
      <w:pPr>
        <w:pStyle w:val="null3"/>
        <w:ind w:firstLine="480"/>
      </w:pPr>
      <w:r>
        <w:rPr/>
        <w:t>随附相关证明材料如下：（目录）</w:t>
      </w:r>
    </w:p>
    <w:p>
      <w:pPr>
        <w:pStyle w:val="null3"/>
        <w:ind w:firstLine="480"/>
      </w:pPr>
      <w:r>
        <w:rPr/>
        <w:t>询问人：（公章）</w:t>
      </w:r>
    </w:p>
    <w:p>
      <w:pPr>
        <w:pStyle w:val="null3"/>
        <w:ind w:firstLine="480"/>
      </w:pPr>
      <w:r>
        <w:rPr/>
        <w:t>法定代表人（授权代表）：</w:t>
      </w:r>
    </w:p>
    <w:p>
      <w:pPr>
        <w:pStyle w:val="null3"/>
        <w:ind w:firstLine="480"/>
      </w:pPr>
      <w:r>
        <w:rPr/>
        <w:t>地址/邮编：</w:t>
      </w:r>
    </w:p>
    <w:p>
      <w:pPr>
        <w:pStyle w:val="null3"/>
        <w:ind w:firstLine="480"/>
      </w:pPr>
      <w:r>
        <w:rPr/>
        <w:t>电话/传真：</w:t>
      </w:r>
    </w:p>
    <w:p>
      <w:pPr>
        <w:pStyle w:val="null3"/>
        <w:jc w:val="right"/>
      </w:pPr>
      <w:r>
        <w:rPr/>
        <w:t xml:space="preserve"> 日  期：__________________</w:t>
      </w:r>
    </w:p>
    <w:p>
      <w:pPr>
        <w:pStyle w:val="null3"/>
        <w:ind w:firstLine="480"/>
      </w:pPr>
      <w:r>
        <w:rPr/>
        <w:t xml:space="preserve">  </w:t>
      </w:r>
    </w:p>
    <w:p>
      <w:pPr>
        <w:pStyle w:val="null3"/>
        <w:jc w:val="center"/>
        <w:outlineLvl w:val="3"/>
      </w:pPr>
      <w:r>
        <w:rPr>
          <w:sz w:val="24"/>
          <w:b/>
        </w:rPr>
        <w:t>质疑函</w:t>
      </w:r>
    </w:p>
    <w:p>
      <w:pPr>
        <w:pStyle w:val="null3"/>
        <w:ind w:firstLine="480"/>
      </w:pPr>
      <w:r>
        <w:rPr/>
        <w:t>一、质疑供应商基本信息</w:t>
      </w:r>
    </w:p>
    <w:p>
      <w:pPr>
        <w:pStyle w:val="null3"/>
        <w:ind w:firstLine="480"/>
      </w:pPr>
      <w:r>
        <w:rPr/>
        <w:t>质疑供应商：__________________________________________</w:t>
      </w:r>
    </w:p>
    <w:p>
      <w:pPr>
        <w:pStyle w:val="null3"/>
        <w:ind w:firstLine="480"/>
      </w:pPr>
      <w:r>
        <w:rPr/>
        <w:t>地址：_____________________邮编：_____________________</w:t>
      </w:r>
    </w:p>
    <w:p>
      <w:pPr>
        <w:pStyle w:val="null3"/>
        <w:ind w:firstLine="480"/>
      </w:pPr>
      <w:r>
        <w:rPr/>
        <w:t>联系：_____________________联系电话：_________________</w:t>
      </w:r>
    </w:p>
    <w:p>
      <w:pPr>
        <w:pStyle w:val="null3"/>
        <w:ind w:firstLine="480"/>
      </w:pPr>
      <w:r>
        <w:rPr/>
        <w:t>授权代表：_____________________</w:t>
      </w:r>
    </w:p>
    <w:p>
      <w:pPr>
        <w:pStyle w:val="null3"/>
        <w:ind w:firstLine="480"/>
      </w:pPr>
      <w:r>
        <w:rPr/>
        <w:t>联系电话：_____________________</w:t>
      </w:r>
    </w:p>
    <w:p>
      <w:pPr>
        <w:pStyle w:val="null3"/>
        <w:ind w:firstLine="480"/>
      </w:pPr>
      <w:r>
        <w:rPr/>
        <w:t>地址：_____________________邮编：_____________________</w:t>
      </w:r>
    </w:p>
    <w:p>
      <w:pPr>
        <w:pStyle w:val="null3"/>
        <w:ind w:firstLine="480"/>
      </w:pPr>
      <w:r>
        <w:rPr/>
        <w:t>二、质疑项目基本情况</w:t>
      </w:r>
    </w:p>
    <w:p>
      <w:pPr>
        <w:pStyle w:val="null3"/>
        <w:ind w:firstLine="480"/>
      </w:pPr>
      <w:r>
        <w:rPr/>
        <w:t>质疑项目的名称：_____________________</w:t>
      </w:r>
    </w:p>
    <w:p>
      <w:pPr>
        <w:pStyle w:val="null3"/>
        <w:ind w:firstLine="480"/>
      </w:pPr>
      <w:r>
        <w:rPr/>
        <w:t>质疑项目的编号：_____________________ 包号：_____________________</w:t>
      </w:r>
    </w:p>
    <w:p>
      <w:pPr>
        <w:pStyle w:val="null3"/>
        <w:ind w:firstLine="480"/>
      </w:pPr>
      <w:r>
        <w:rPr/>
        <w:t>采购人名称：_____________________</w:t>
      </w:r>
    </w:p>
    <w:p>
      <w:pPr>
        <w:pStyle w:val="null3"/>
        <w:ind w:firstLine="480"/>
      </w:pPr>
      <w:r>
        <w:rPr/>
        <w:t>磋商文件获取日期：_____________________</w:t>
      </w:r>
    </w:p>
    <w:p>
      <w:pPr>
        <w:pStyle w:val="null3"/>
        <w:ind w:firstLine="480"/>
      </w:pPr>
      <w:r>
        <w:rPr/>
        <w:t>三、质疑事项具体内容</w:t>
      </w:r>
    </w:p>
    <w:p>
      <w:pPr>
        <w:pStyle w:val="null3"/>
        <w:ind w:firstLine="480"/>
      </w:pPr>
      <w:r>
        <w:rPr/>
        <w:t>质疑事项1：_____________________</w:t>
      </w:r>
    </w:p>
    <w:p>
      <w:pPr>
        <w:pStyle w:val="null3"/>
        <w:ind w:firstLine="480"/>
      </w:pPr>
      <w:r>
        <w:rPr/>
        <w:t>事实依据：_____________________</w:t>
      </w:r>
    </w:p>
    <w:p>
      <w:pPr>
        <w:pStyle w:val="null3"/>
        <w:ind w:firstLine="480"/>
      </w:pPr>
      <w:r>
        <w:rPr/>
        <w:t>法律依据：_____________________</w:t>
      </w:r>
    </w:p>
    <w:p>
      <w:pPr>
        <w:pStyle w:val="null3"/>
        <w:ind w:firstLine="480"/>
      </w:pPr>
      <w:r>
        <w:rPr/>
        <w:t>质疑事项2</w:t>
      </w:r>
    </w:p>
    <w:p>
      <w:pPr>
        <w:pStyle w:val="null3"/>
        <w:ind w:firstLine="480"/>
      </w:pPr>
      <w:r>
        <w:rPr/>
        <w:t>……</w:t>
      </w:r>
    </w:p>
    <w:p>
      <w:pPr>
        <w:pStyle w:val="null3"/>
        <w:ind w:firstLine="480"/>
      </w:pPr>
      <w:r>
        <w:rPr/>
        <w:t>四、与质疑事项相关的质疑请求</w:t>
      </w:r>
    </w:p>
    <w:p>
      <w:pPr>
        <w:pStyle w:val="null3"/>
        <w:ind w:firstLine="480"/>
      </w:pPr>
      <w:r>
        <w:rPr/>
        <w:t>请求：</w:t>
      </w:r>
    </w:p>
    <w:p>
      <w:pPr>
        <w:pStyle w:val="null3"/>
        <w:jc w:val="right"/>
      </w:pPr>
      <w:r>
        <w:rPr/>
        <w:t xml:space="preserve"> 签字(签章)：_____________________ 公章：_____________________</w:t>
      </w:r>
    </w:p>
    <w:p>
      <w:pPr>
        <w:pStyle w:val="null3"/>
        <w:jc w:val="right"/>
      </w:pPr>
      <w:r>
        <w:rPr/>
        <w:t xml:space="preserve"> 日期：_____________________</w:t>
      </w:r>
    </w:p>
    <w:p>
      <w:pPr>
        <w:pStyle w:val="null3"/>
        <w:ind w:firstLine="480"/>
      </w:pPr>
      <w:r>
        <w:rPr/>
        <w:t>质疑函制作说明：</w:t>
      </w:r>
    </w:p>
    <w:p>
      <w:pPr>
        <w:pStyle w:val="null3"/>
        <w:ind w:firstLine="480"/>
      </w:pPr>
      <w:r>
        <w:rPr/>
        <w:t>1.供应商提出质疑时，应提交质疑函和必要的证明材料。</w:t>
      </w:r>
    </w:p>
    <w:p>
      <w:pPr>
        <w:pStyle w:val="null3"/>
        <w:ind w:firstLine="480"/>
      </w:pPr>
      <w:r>
        <w:rPr/>
        <w:t xml:space="preserve"> 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pStyle w:val="null3"/>
        <w:ind w:firstLine="480"/>
      </w:pPr>
      <w:r>
        <w:rPr/>
        <w:t>3.质疑供应商若对项目的某一采购包进行质疑，质疑函中应列明具体分包号。</w:t>
      </w:r>
    </w:p>
    <w:p>
      <w:pPr>
        <w:pStyle w:val="null3"/>
        <w:ind w:firstLine="480"/>
      </w:pPr>
      <w:r>
        <w:rPr/>
        <w:t>4.质疑函的质疑事项应具体、明确，并有必要的事实依据和法律依据。</w:t>
      </w:r>
    </w:p>
    <w:p>
      <w:pPr>
        <w:pStyle w:val="null3"/>
        <w:ind w:firstLine="480"/>
      </w:pPr>
      <w:r>
        <w:rPr/>
        <w:t>5.质疑函的质疑请求应与质疑事项相关。</w:t>
      </w:r>
    </w:p>
    <w:p>
      <w:pPr>
        <w:pStyle w:val="null3"/>
        <w:ind w:firstLine="480"/>
      </w:pPr>
      <w:r>
        <w:rPr/>
        <w:t>6.质疑供应商为自然人的，质疑函应由本人签字；质疑供应商为法人或者其他组织的，质疑函应由法定代表人、主要负责人，或者其授权代表签字或者盖章，并加盖公章。</w:t>
      </w:r>
    </w:p>
    <w:p>
      <w:pPr>
        <w:pStyle w:val="null3"/>
        <w:ind w:firstLine="480"/>
      </w:pPr>
      <w:r>
        <w:rPr/>
        <w:t xml:space="preserve">  </w:t>
      </w:r>
    </w:p>
    <w:p>
      <w:pPr>
        <w:pStyle w:val="null3"/>
        <w:jc w:val="center"/>
        <w:outlineLvl w:val="3"/>
      </w:pPr>
      <w:r>
        <w:rPr>
          <w:sz w:val="24"/>
          <w:b/>
        </w:rPr>
        <w:t>投诉书</w:t>
      </w:r>
    </w:p>
    <w:p>
      <w:pPr>
        <w:pStyle w:val="null3"/>
        <w:ind w:firstLine="480"/>
      </w:pPr>
      <w:r>
        <w:rPr/>
        <w:t xml:space="preserve"> 一、投诉相关主体基本情况</w:t>
      </w:r>
    </w:p>
    <w:p>
      <w:pPr>
        <w:pStyle w:val="null3"/>
        <w:ind w:firstLine="480"/>
      </w:pPr>
      <w:r>
        <w:rPr/>
        <w:t xml:space="preserve"> 投诉人：____________________</w:t>
      </w:r>
    </w:p>
    <w:p>
      <w:pPr>
        <w:pStyle w:val="null3"/>
        <w:ind w:firstLine="480"/>
      </w:pPr>
      <w:r>
        <w:rPr/>
        <w:t xml:space="preserve"> 地 址：____________________邮编：____________________</w:t>
      </w:r>
    </w:p>
    <w:p>
      <w:pPr>
        <w:pStyle w:val="null3"/>
        <w:ind w:firstLine="480"/>
      </w:pPr>
      <w:r>
        <w:rPr/>
        <w:t xml:space="preserve"> 法定代表人/主要负责人：____________________</w:t>
      </w:r>
    </w:p>
    <w:p>
      <w:pPr>
        <w:pStyle w:val="null3"/>
        <w:ind w:firstLine="480"/>
      </w:pPr>
      <w:r>
        <w:rPr/>
        <w:t xml:space="preserve"> 联系电话：____________________</w:t>
      </w:r>
    </w:p>
    <w:p>
      <w:pPr>
        <w:pStyle w:val="null3"/>
        <w:ind w:firstLine="480"/>
      </w:pPr>
      <w:r>
        <w:rPr/>
        <w:t xml:space="preserve"> 授权代表：____________________联系电话：____________________</w:t>
      </w:r>
    </w:p>
    <w:p>
      <w:pPr>
        <w:pStyle w:val="null3"/>
        <w:ind w:firstLine="480"/>
      </w:pPr>
      <w:r>
        <w:rPr/>
        <w:t xml:space="preserve"> 地 址：____________________邮编：____________________</w:t>
      </w:r>
    </w:p>
    <w:p>
      <w:pPr>
        <w:pStyle w:val="null3"/>
        <w:ind w:firstLine="480"/>
      </w:pPr>
      <w:r>
        <w:rPr/>
        <w:t xml:space="preserve"> 被投诉人1：____________________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被投诉人2：____________________</w:t>
      </w:r>
    </w:p>
    <w:p>
      <w:pPr>
        <w:pStyle w:val="null3"/>
        <w:ind w:firstLine="480"/>
      </w:pPr>
      <w:r>
        <w:rPr/>
        <w:t xml:space="preserve"> ……</w:t>
      </w:r>
    </w:p>
    <w:p>
      <w:pPr>
        <w:pStyle w:val="null3"/>
        <w:ind w:firstLine="480"/>
      </w:pPr>
      <w:r>
        <w:rPr/>
        <w:t xml:space="preserve"> 相关供应商：</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二、投诉项目基本情况</w:t>
      </w:r>
    </w:p>
    <w:p>
      <w:pPr>
        <w:pStyle w:val="null3"/>
        <w:ind w:firstLine="480"/>
      </w:pPr>
      <w:r>
        <w:rPr/>
        <w:t xml:space="preserve"> 采购项目名称：____________________</w:t>
      </w:r>
    </w:p>
    <w:p>
      <w:pPr>
        <w:pStyle w:val="null3"/>
        <w:ind w:firstLine="480"/>
      </w:pPr>
      <w:r>
        <w:rPr/>
        <w:t xml:space="preserve"> 采购项目编号： ____________________包号：____________________</w:t>
      </w:r>
    </w:p>
    <w:p>
      <w:pPr>
        <w:pStyle w:val="null3"/>
        <w:ind w:firstLine="480"/>
      </w:pPr>
      <w:r>
        <w:rPr/>
        <w:t xml:space="preserve"> 采购人名称：____________________</w:t>
      </w:r>
    </w:p>
    <w:p>
      <w:pPr>
        <w:pStyle w:val="null3"/>
        <w:ind w:firstLine="480"/>
      </w:pPr>
      <w:r>
        <w:rPr/>
        <w:t xml:space="preserve"> 代理机构名称：____________________</w:t>
      </w:r>
    </w:p>
    <w:p>
      <w:pPr>
        <w:pStyle w:val="null3"/>
        <w:ind w:firstLine="480"/>
      </w:pPr>
      <w:r>
        <w:rPr/>
        <w:t>磋商文件公告:</w:t>
      </w:r>
      <w:r>
        <w:rPr>
          <w:u w:val="single"/>
        </w:rPr>
        <w:t>是/否</w:t>
      </w:r>
      <w:r>
        <w:rPr/>
        <w:t xml:space="preserve"> 公告期限：</w:t>
      </w:r>
    </w:p>
    <w:p>
      <w:pPr>
        <w:pStyle w:val="null3"/>
        <w:ind w:firstLine="480"/>
      </w:pPr>
      <w:r>
        <w:rPr/>
        <w:t xml:space="preserve"> 采购结果公告:</w:t>
      </w:r>
      <w:r>
        <w:rPr>
          <w:u w:val="single"/>
        </w:rPr>
        <w:t>是/否</w:t>
      </w:r>
      <w:r>
        <w:rPr/>
        <w:t xml:space="preserve"> 公告期限：</w:t>
      </w:r>
    </w:p>
    <w:p>
      <w:pPr>
        <w:pStyle w:val="null3"/>
        <w:ind w:firstLine="480"/>
      </w:pPr>
      <w:r>
        <w:rPr/>
        <w:t xml:space="preserve"> 三、质疑基本情况</w:t>
      </w:r>
    </w:p>
    <w:p>
      <w:pPr>
        <w:pStyle w:val="null3"/>
        <w:ind w:firstLine="480"/>
      </w:pPr>
      <w:r>
        <w:rPr/>
        <w:t xml:space="preserve"> 投诉人于 ____年____月____日,向____________________提出质疑，质疑事项为：________________________________________</w:t>
      </w:r>
    </w:p>
    <w:p>
      <w:pPr>
        <w:pStyle w:val="null3"/>
        <w:ind w:firstLine="480"/>
      </w:pPr>
      <w:r>
        <w:rPr>
          <w:u w:val="single"/>
        </w:rPr>
        <w:t>采购人/代理机构</w:t>
      </w:r>
      <w:r>
        <w:rPr/>
        <w:t>于____年____月____日,就质疑事项作出了答复/没有在法定期限内作出答复。</w:t>
      </w:r>
    </w:p>
    <w:p>
      <w:pPr>
        <w:pStyle w:val="null3"/>
        <w:ind w:firstLine="480"/>
      </w:pPr>
      <w:r>
        <w:rPr/>
        <w:t xml:space="preserve"> 四、投诉事项具体内容</w:t>
      </w:r>
    </w:p>
    <w:p>
      <w:pPr>
        <w:pStyle w:val="null3"/>
        <w:ind w:firstLine="480"/>
      </w:pPr>
      <w:r>
        <w:rPr/>
        <w:t xml:space="preserve"> 投诉事项1：____________________</w:t>
      </w:r>
    </w:p>
    <w:p>
      <w:pPr>
        <w:pStyle w:val="null3"/>
        <w:ind w:firstLine="480"/>
      </w:pPr>
      <w:r>
        <w:rPr/>
        <w:t xml:space="preserve"> 事实依据：____________________</w:t>
      </w:r>
    </w:p>
    <w:p>
      <w:pPr>
        <w:pStyle w:val="null3"/>
        <w:ind w:firstLine="480"/>
      </w:pPr>
      <w:r>
        <w:rPr/>
        <w:t xml:space="preserve"> 法律依据：____________________</w:t>
      </w:r>
    </w:p>
    <w:p>
      <w:pPr>
        <w:pStyle w:val="null3"/>
        <w:ind w:firstLine="480"/>
      </w:pPr>
      <w:r>
        <w:rPr/>
        <w:t xml:space="preserve"> 投诉事项2</w:t>
      </w:r>
    </w:p>
    <w:p>
      <w:pPr>
        <w:pStyle w:val="null3"/>
        <w:ind w:firstLine="480"/>
      </w:pPr>
      <w:r>
        <w:rPr/>
        <w:t xml:space="preserve"> ……</w:t>
      </w:r>
    </w:p>
    <w:p>
      <w:pPr>
        <w:pStyle w:val="null3"/>
        <w:ind w:firstLine="480"/>
      </w:pPr>
      <w:r>
        <w:rPr/>
        <w:t xml:space="preserve"> 五、与投诉事项相关的投诉请求</w:t>
      </w:r>
    </w:p>
    <w:p>
      <w:pPr>
        <w:pStyle w:val="null3"/>
        <w:ind w:firstLine="480"/>
      </w:pPr>
      <w:r>
        <w:rPr/>
        <w:t xml:space="preserve"> 请求：________________________</w:t>
      </w:r>
    </w:p>
    <w:p>
      <w:pPr>
        <w:pStyle w:val="null3"/>
        <w:ind w:firstLine="480"/>
      </w:pPr>
      <w:r>
        <w:rPr/>
        <w:t>签字(签章)：_________公章________</w:t>
      </w:r>
    </w:p>
    <w:p>
      <w:pPr>
        <w:pStyle w:val="null3"/>
        <w:jc w:val="right"/>
      </w:pPr>
      <w:r>
        <w:rPr/>
        <w:t>日期：_____________________</w:t>
      </w:r>
    </w:p>
    <w:p>
      <w:pPr>
        <w:pStyle w:val="null3"/>
        <w:ind w:firstLine="480"/>
      </w:pPr>
      <w:r>
        <w:rPr/>
        <w:t xml:space="preserve"> 投诉书制作说明：</w:t>
      </w:r>
    </w:p>
    <w:p>
      <w:pPr>
        <w:pStyle w:val="null3"/>
        <w:ind w:firstLine="480"/>
      </w:pPr>
      <w:r>
        <w:rPr/>
        <w:t xml:space="preserve"> 1.投诉人提起投诉时，应当提交投诉书和必要的证明材料，并按照被投诉人和与投诉事项有关的供应商数量提供投诉书副本。</w:t>
      </w:r>
    </w:p>
    <w:p>
      <w:pPr>
        <w:pStyle w:val="null3"/>
        <w:ind w:firstLine="480"/>
      </w:pPr>
      <w:r>
        <w:rPr/>
        <w:t xml:space="preserve"> 2.投诉人若委托代理人进行投诉的，投诉书应按照要求列明“授权代表”的有关内容，并在附件中提交由投诉人签署的授权委托书。授权委托书应当载明代理人的姓名或者名称、代理事项、具体权限、期限和相关事项。</w:t>
      </w:r>
    </w:p>
    <w:p>
      <w:pPr>
        <w:pStyle w:val="null3"/>
        <w:ind w:firstLine="480"/>
      </w:pPr>
      <w:r>
        <w:rPr/>
        <w:t xml:space="preserve"> 3.投诉人若对项目的某一分包进行投诉，投诉书应列明具体分包号。</w:t>
      </w:r>
    </w:p>
    <w:p>
      <w:pPr>
        <w:pStyle w:val="null3"/>
        <w:ind w:firstLine="480"/>
      </w:pPr>
      <w:r>
        <w:rPr/>
        <w:t xml:space="preserve"> 4.投诉书应简要列明质疑事项，质疑函、质疑答复等作为附件材料提供。</w:t>
      </w:r>
    </w:p>
    <w:p>
      <w:pPr>
        <w:pStyle w:val="null3"/>
        <w:ind w:firstLine="480"/>
      </w:pPr>
      <w:r>
        <w:rPr/>
        <w:t xml:space="preserve"> 5.投诉书的投诉事项应具体、明确，并有必要的事实依据和法律依据。</w:t>
      </w:r>
    </w:p>
    <w:p>
      <w:pPr>
        <w:pStyle w:val="null3"/>
        <w:ind w:firstLine="480"/>
      </w:pPr>
      <w:r>
        <w:rPr/>
        <w:t xml:space="preserve"> 6.投诉书的投诉请求应与投诉事项相关。</w:t>
      </w:r>
    </w:p>
    <w:p>
      <w:pPr>
        <w:pStyle w:val="null3"/>
        <w:ind w:firstLine="480"/>
      </w:pPr>
      <w:r>
        <w:rPr/>
        <w:t xml:space="preserve"> 7.投诉人为自然人的，投诉书应当由本人签字；投诉人为法人或者其他组织的，投诉书应当由法定代表人、主要负责人，或者其授权代表签字或者盖章，并加盖公章。</w:t>
      </w:r>
    </w:p>
    <w:p>
      <w:pPr>
        <w:pStyle w:val="null3"/>
        <w:ind w:firstLine="480"/>
      </w:pPr>
      <w:r>
        <w:rPr/>
        <w:t xml:space="preserve">  </w:t>
      </w:r>
    </w:p>
    <w:p>
      <w:pPr>
        <w:pStyle w:val="null3"/>
        <w:outlineLvl w:val="2"/>
      </w:pPr>
      <w:r>
        <w:rPr>
          <w:sz w:val="28"/>
          <w:b/>
        </w:rPr>
        <w:t>格式二十三：</w:t>
      </w:r>
    </w:p>
    <w:p>
      <w:pPr>
        <w:pStyle w:val="null3"/>
        <w:ind w:firstLine="480"/>
      </w:pPr>
      <w:r>
        <w:rPr/>
        <w:t>项目实施方案、质量保证及售后服务承诺等内容和格式自拟。</w:t>
      </w:r>
    </w:p>
    <w:p>
      <w:pPr>
        <w:pStyle w:val="null3"/>
        <w:ind w:firstLine="480"/>
      </w:pPr>
      <w:r>
        <w:rPr/>
        <w:t xml:space="preserve">  </w:t>
      </w:r>
    </w:p>
    <w:p>
      <w:pPr>
        <w:pStyle w:val="null3"/>
        <w:outlineLvl w:val="2"/>
      </w:pPr>
      <w:r>
        <w:rPr>
          <w:sz w:val="28"/>
          <w:b/>
        </w:rPr>
        <w:t>格式二十四：</w:t>
      </w:r>
    </w:p>
    <w:p>
      <w:pPr>
        <w:pStyle w:val="null3"/>
        <w:ind w:firstLine="480"/>
      </w:pPr>
      <w:r>
        <w:rPr/>
        <w:t>附件（以下格式文件由供应商根据需要选用）</w:t>
      </w:r>
    </w:p>
    <w:p>
      <w:pPr>
        <w:pStyle w:val="null3"/>
        <w:jc w:val="center"/>
        <w:outlineLvl w:val="3"/>
      </w:pPr>
      <w:r>
        <w:rPr>
          <w:sz w:val="24"/>
          <w:b/>
        </w:rPr>
        <w:t>政府采购投标（响应）担保函</w:t>
      </w:r>
    </w:p>
    <w:p>
      <w:pPr>
        <w:pStyle w:val="null3"/>
        <w:jc w:val="right"/>
      </w:pPr>
      <w:r>
        <w:rPr/>
        <w:t>编号：【】号</w:t>
      </w:r>
    </w:p>
    <w:p>
      <w:pPr>
        <w:pStyle w:val="null3"/>
        <w:ind w:firstLine="480"/>
      </w:pPr>
      <w:r>
        <w:rPr/>
        <w:t>（采购人）：</w:t>
      </w:r>
    </w:p>
    <w:p>
      <w:pPr>
        <w:pStyle w:val="null3"/>
        <w:ind w:firstLine="480"/>
      </w:pPr>
      <w:r>
        <w:rPr/>
        <w:t xml:space="preserve"> 鉴于__________（以下简称“投标（响应）人”）拟参加编号为__________的（以下简称“本项目”）投标（响应），根据本项目采购文件，投标（响应）人参加投标（响应）时应向你方交纳投标（响应）保证金，且可以投标（响应）担保函的形式交纳投标（响应）保证金。应投标（响应）人的申请，我方以保证的方式向你方提供如下投标（响应）保证金担保：</w:t>
      </w:r>
    </w:p>
    <w:p>
      <w:pPr>
        <w:pStyle w:val="null3"/>
        <w:ind w:firstLine="480"/>
      </w:pPr>
      <w:r>
        <w:rPr/>
        <w:t>一、保证责任的情形及保证金额</w:t>
      </w:r>
    </w:p>
    <w:p>
      <w:pPr>
        <w:pStyle w:val="null3"/>
        <w:ind w:firstLine="480"/>
      </w:pPr>
      <w:r>
        <w:rPr/>
        <w:t>（一）在投标（响应）人出现下列情形之一时，我方承担保证责任：</w:t>
      </w:r>
    </w:p>
    <w:p>
      <w:pPr>
        <w:pStyle w:val="null3"/>
        <w:ind w:firstLine="480"/>
      </w:pPr>
      <w:r>
        <w:rPr/>
        <w:t>1.中标（成交）后投标（响应）人无正当理由不与采购人签订《政府采购合同》；</w:t>
      </w:r>
    </w:p>
    <w:p>
      <w:pPr>
        <w:pStyle w:val="null3"/>
        <w:ind w:firstLine="480"/>
      </w:pPr>
      <w:r>
        <w:rPr/>
        <w:t>2.采购文件规定的投标（响应）人应当缴纳保证金的其他情形。</w:t>
      </w:r>
    </w:p>
    <w:p>
      <w:pPr>
        <w:pStyle w:val="null3"/>
        <w:ind w:firstLine="480"/>
      </w:pPr>
      <w:r>
        <w:rPr/>
        <w:t>（二）我方承担保证责任的最高金额为人民币__________元（大写）即本项目的投标（响应）保证金金额。</w:t>
      </w:r>
    </w:p>
    <w:p>
      <w:pPr>
        <w:pStyle w:val="null3"/>
        <w:ind w:firstLine="480"/>
      </w:pPr>
      <w:r>
        <w:rPr/>
        <w:t>二、保证的方式及保证期间</w:t>
      </w:r>
    </w:p>
    <w:p>
      <w:pPr>
        <w:pStyle w:val="null3"/>
        <w:ind w:firstLine="480"/>
      </w:pPr>
      <w:r>
        <w:rPr/>
        <w:t>我方保证的方式为：连带责任保证。</w:t>
      </w:r>
    </w:p>
    <w:p>
      <w:pPr>
        <w:pStyle w:val="null3"/>
        <w:ind w:firstLine="480"/>
      </w:pPr>
      <w:r>
        <w:rPr/>
        <w:t>我方的保证期间为：本保函自__年__月__日起生效，有效期至开标日后的90天内。</w:t>
      </w:r>
    </w:p>
    <w:p>
      <w:pPr>
        <w:pStyle w:val="null3"/>
        <w:ind w:firstLine="480"/>
      </w:pPr>
      <w:r>
        <w:rPr/>
        <w:t>三、承担保证责任的程序</w:t>
      </w:r>
    </w:p>
    <w:p>
      <w:pPr>
        <w:pStyle w:val="null3"/>
        <w:ind w:firstLine="480"/>
      </w:pPr>
      <w:r>
        <w:rPr/>
        <w:t xml:space="preserve"> 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pStyle w:val="null3"/>
        <w:ind w:firstLine="480"/>
      </w:pPr>
      <w:r>
        <w:rPr/>
        <w:t>2.我方在收到索赔通知及相关证明材料后，在15个工作日内进行审查，符合应承担保证责任情形的，我方按照你方的要求代投标（响应）人向你方支付相应的索赔款项。</w:t>
      </w:r>
    </w:p>
    <w:p>
      <w:pPr>
        <w:pStyle w:val="null3"/>
        <w:ind w:firstLine="480"/>
      </w:pPr>
      <w:r>
        <w:rPr/>
        <w:t>四、保证责任的终止</w:t>
      </w:r>
    </w:p>
    <w:p>
      <w:pPr>
        <w:pStyle w:val="null3"/>
        <w:ind w:firstLine="480"/>
      </w:pPr>
      <w:r>
        <w:rPr/>
        <w:t>1.保证期间届满，你方未向我方书面主张保证责任的，自保证期间届满次日起，我方保证责任自动终止。</w:t>
      </w:r>
    </w:p>
    <w:p>
      <w:pPr>
        <w:pStyle w:val="null3"/>
        <w:ind w:firstLine="480"/>
      </w:pPr>
      <w:r>
        <w:rPr/>
        <w:t>2.我方按照本保函向你方履行了保证责任后，自我方向你方支付款项（支付款项从我方账户划出）之日起，保证责任终止。</w:t>
      </w:r>
    </w:p>
    <w:p>
      <w:pPr>
        <w:pStyle w:val="null3"/>
        <w:ind w:firstLine="480"/>
      </w:pPr>
      <w:r>
        <w:rPr/>
        <w:t>3.按照法律法规的规定或出现我方保证责任终止的其它情形的，我方在本保函项下的保证责任终止。</w:t>
      </w:r>
    </w:p>
    <w:p>
      <w:pPr>
        <w:pStyle w:val="null3"/>
        <w:ind w:firstLine="480"/>
      </w:pPr>
      <w:r>
        <w:rPr/>
        <w:t>五、免责条款</w:t>
      </w:r>
    </w:p>
    <w:p>
      <w:pPr>
        <w:pStyle w:val="null3"/>
        <w:ind w:firstLine="480"/>
      </w:pPr>
      <w:r>
        <w:rPr/>
        <w:t>1.依照法律规定或你方与投标（响应）人的另行约定，全部或者部分免除投标（响应）人投标（响应）保证金义务时，我方亦免除相应的保证责任。</w:t>
      </w:r>
    </w:p>
    <w:p>
      <w:pPr>
        <w:pStyle w:val="null3"/>
        <w:ind w:firstLine="480"/>
      </w:pPr>
      <w:r>
        <w:rPr/>
        <w:t>2.因你方原因致使投标（响应）人发生本保函第一条第（一）款约定情形的，我方不承担保证责任。</w:t>
      </w:r>
    </w:p>
    <w:p>
      <w:pPr>
        <w:pStyle w:val="null3"/>
        <w:ind w:firstLine="480"/>
      </w:pPr>
      <w:r>
        <w:rPr/>
        <w:t>3.因不可抗力造成投标（响应）人发生本保函第一条约定情形的，我方不承担保证责任。</w:t>
      </w:r>
    </w:p>
    <w:p>
      <w:pPr>
        <w:pStyle w:val="null3"/>
        <w:ind w:firstLine="480"/>
      </w:pPr>
      <w:r>
        <w:rPr/>
        <w:t>4.你方或其他有权机关对采购文件进行任何澄清或修改，加重我方保证责任的，我方对加重部分不承担保证责任，但该澄清或修改经我方事先书面同意的除外。</w:t>
      </w:r>
    </w:p>
    <w:p>
      <w:pPr>
        <w:pStyle w:val="null3"/>
        <w:ind w:firstLine="480"/>
      </w:pPr>
      <w:r>
        <w:rPr/>
        <w:t>六、争议的解决</w:t>
      </w:r>
    </w:p>
    <w:p>
      <w:pPr>
        <w:pStyle w:val="null3"/>
        <w:ind w:firstLine="480"/>
      </w:pPr>
      <w:r>
        <w:rPr/>
        <w:t>因本保函发生的纠纷，由你我双方协商解决，协商不成的，通过诉讼程序解决，诉讼管辖地法院为________法院。</w:t>
      </w:r>
    </w:p>
    <w:p>
      <w:pPr>
        <w:pStyle w:val="null3"/>
        <w:ind w:firstLine="480"/>
      </w:pPr>
      <w:r>
        <w:rPr/>
        <w:t>七、保函的生效</w:t>
      </w:r>
    </w:p>
    <w:p>
      <w:pPr>
        <w:pStyle w:val="null3"/>
        <w:ind w:firstLine="480"/>
      </w:pPr>
      <w:r>
        <w:rPr/>
        <w:t>本保函自我方加盖公章之日起生效。</w:t>
      </w:r>
    </w:p>
    <w:p>
      <w:pPr>
        <w:pStyle w:val="null3"/>
        <w:ind w:firstLine="480"/>
      </w:pPr>
      <w:r>
        <w:rPr/>
        <w:t>保证人：_______（公章）_______</w:t>
      </w:r>
    </w:p>
    <w:p>
      <w:pPr>
        <w:pStyle w:val="null3"/>
        <w:jc w:val="right"/>
      </w:pPr>
      <w:r>
        <w:rPr/>
        <w:t>联系人：________________联系电话：_______________</w:t>
      </w:r>
    </w:p>
    <w:p>
      <w:pPr>
        <w:pStyle w:val="null3"/>
        <w:jc w:val="right"/>
      </w:pPr>
      <w:r>
        <w:rPr/>
        <w:t>___年___月___日</w:t>
      </w:r>
    </w:p>
    <w:p>
      <w:pPr>
        <w:pStyle w:val="null3"/>
        <w:ind w:firstLine="480"/>
      </w:pPr>
      <w:r>
        <w:rPr/>
        <w:t xml:space="preserve">  </w:t>
      </w:r>
    </w:p>
    <w:p>
      <w:pPr>
        <w:pStyle w:val="null3"/>
        <w:outlineLvl w:val="2"/>
      </w:pPr>
      <w:r>
        <w:rPr>
          <w:sz w:val="28"/>
          <w:b/>
        </w:rPr>
        <w:t>格式二十五：</w:t>
      </w:r>
    </w:p>
    <w:p>
      <w:pPr>
        <w:pStyle w:val="null3"/>
        <w:jc w:val="center"/>
        <w:outlineLvl w:val="3"/>
      </w:pPr>
      <w:r>
        <w:rPr>
          <w:sz w:val="24"/>
          <w:b/>
        </w:rPr>
        <w:t>政府采购履约担保函</w:t>
      </w:r>
    </w:p>
    <w:p>
      <w:pPr>
        <w:pStyle w:val="null3"/>
      </w:pPr>
      <w:r>
        <w:rPr/>
        <w:t>编号：</w:t>
      </w:r>
    </w:p>
    <w:p>
      <w:pPr>
        <w:pStyle w:val="null3"/>
        <w:ind w:firstLine="480"/>
      </w:pPr>
      <w:r>
        <w:rPr/>
        <w:t>（采购人）：</w:t>
      </w:r>
    </w:p>
    <w:p>
      <w:pPr>
        <w:pStyle w:val="null3"/>
        <w:ind w:firstLine="480"/>
      </w:pPr>
      <w:r>
        <w:rPr/>
        <w:t xml:space="preserve"> 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pStyle w:val="null3"/>
        <w:ind w:firstLine="480"/>
      </w:pPr>
      <w:r>
        <w:rPr/>
        <w:t>一、保证金额</w:t>
      </w:r>
    </w:p>
    <w:p>
      <w:pPr>
        <w:pStyle w:val="null3"/>
        <w:ind w:firstLine="480"/>
      </w:pPr>
      <w:r>
        <w:rPr/>
        <w:t>我方的保证范围是主合同约定的合同价款总额的___%，数额为__________（大写），币种为</w:t>
      </w:r>
      <w:r>
        <w:rPr>
          <w:u w:val="single"/>
        </w:rPr>
        <w:t>人民币</w:t>
      </w:r>
      <w:r>
        <w:rPr/>
        <w:t>（即主合同履约保证金金额）。</w:t>
      </w:r>
    </w:p>
    <w:p>
      <w:pPr>
        <w:pStyle w:val="null3"/>
        <w:ind w:firstLine="480"/>
      </w:pPr>
      <w:r>
        <w:rPr/>
        <w:t>二、我方保证的方式为：连带责任保证。</w:t>
      </w:r>
    </w:p>
    <w:p>
      <w:pPr>
        <w:pStyle w:val="null3"/>
        <w:ind w:firstLine="480"/>
      </w:pPr>
      <w:r>
        <w:rPr/>
        <w:t>三、我方保证的期间为：本保函自开立之日起生效，至 年 月 日止。</w:t>
      </w:r>
    </w:p>
    <w:p>
      <w:pPr>
        <w:pStyle w:val="null3"/>
        <w:ind w:firstLine="480"/>
      </w:pPr>
      <w:r>
        <w:rPr/>
        <w:t>四、在本保函的有效期内，如被保证人违反上述合同或协议约定的义务，我方将在收到你方提交的本保函文件及符合下列全部条件的索赔通知后</w:t>
      </w:r>
      <w:r>
        <w:rPr>
          <w:u w:val="single"/>
        </w:rPr>
        <w:t xml:space="preserve"> 30 </w:t>
      </w:r>
      <w:r>
        <w:rPr/>
        <w:t>个工作日内以上述保证金额为限支付你方索赔金额:</w:t>
      </w:r>
    </w:p>
    <w:p>
      <w:pPr>
        <w:pStyle w:val="null3"/>
        <w:ind w:firstLine="480"/>
      </w:pPr>
      <w:r>
        <w:rPr/>
        <w:t>(一)索赔通知文件必须以书面形式提出，列明索赔金额，并由你方法定代表人(负责人)或授权代理人签字并加盖公章;</w:t>
      </w:r>
    </w:p>
    <w:p>
      <w:pPr>
        <w:pStyle w:val="null3"/>
        <w:ind w:firstLine="480"/>
      </w:pPr>
      <w:r>
        <w:rPr/>
        <w:t>(二)索赔通知文件必须同时附有:</w:t>
      </w:r>
    </w:p>
    <w:p>
      <w:pPr>
        <w:pStyle w:val="null3"/>
        <w:ind w:firstLine="480"/>
      </w:pPr>
      <w:r>
        <w:rPr/>
        <w:t>1.一项书面声明，声明索赔款项并未由被保证人或其代理人直接或间接地支付给你方;</w:t>
      </w:r>
    </w:p>
    <w:p>
      <w:pPr>
        <w:pStyle w:val="null3"/>
        <w:ind w:firstLine="480"/>
      </w:pPr>
      <w:r>
        <w:rPr/>
        <w:t>2.证明被保证人违反上述合同或协议约定的义务以及有责任支付你方索赔金额的证据。</w:t>
      </w:r>
    </w:p>
    <w:p>
      <w:pPr>
        <w:pStyle w:val="null3"/>
        <w:ind w:firstLine="480"/>
      </w:pPr>
      <w:r>
        <w:rPr/>
        <w:t>(三)索赔通知文件必须在本保函有效期内到达以下地址：</w:t>
      </w:r>
    </w:p>
    <w:p>
      <w:pPr>
        <w:pStyle w:val="null3"/>
        <w:ind w:firstLine="480"/>
      </w:pPr>
      <w:r>
        <w:rPr/>
        <w:t>__________________________________________________。</w:t>
      </w:r>
    </w:p>
    <w:p>
      <w:pPr>
        <w:pStyle w:val="null3"/>
        <w:ind w:firstLine="480"/>
      </w:pPr>
      <w:r>
        <w:rPr/>
        <w:t>五、本保函保证金额将随被保证人逐步履行保函项下合同约定或法定的义务以及我方按你方索赔通知文件要求分次支付而相应递减。</w:t>
      </w:r>
    </w:p>
    <w:p>
      <w:pPr>
        <w:pStyle w:val="null3"/>
        <w:ind w:firstLine="480"/>
      </w:pPr>
      <w:r>
        <w:rPr/>
        <w:t>六、本保函项下的权利不得转让，不得设定担保。受益人未经我方书面同意转让本保函或其项下任何权利，我方在本保函项下的义务与责任全部消灭。</w:t>
      </w:r>
    </w:p>
    <w:p>
      <w:pPr>
        <w:pStyle w:val="null3"/>
        <w:ind w:firstLine="480"/>
      </w:pPr>
      <w:r>
        <w:rPr/>
        <w:t>七、本保函项下的合同或基础交易不成立、不生效、无效、被撤销、被解除，本保函无效;被保证人基于保函项下的合同或基础交易或其他原因的抗辩，我方均有权主张。</w:t>
      </w:r>
    </w:p>
    <w:p>
      <w:pPr>
        <w:pStyle w:val="null3"/>
        <w:ind w:firstLine="480"/>
      </w:pPr>
      <w:r>
        <w:rPr/>
        <w:t>八、因本保函发生争议协商解决不成，按以下第</w:t>
      </w:r>
      <w:r>
        <w:rPr>
          <w:u w:val="single"/>
        </w:rPr>
        <w:t xml:space="preserve"> (一)</w:t>
      </w:r>
      <w:r>
        <w:rPr/>
        <w:t>种方式解决:</w:t>
      </w:r>
    </w:p>
    <w:p>
      <w:pPr>
        <w:pStyle w:val="null3"/>
        <w:ind w:firstLine="480"/>
      </w:pPr>
      <w:r>
        <w:rPr/>
        <w:t>(一)向我方所在地的人民法院起诉。</w:t>
      </w:r>
    </w:p>
    <w:p>
      <w:pPr>
        <w:pStyle w:val="null3"/>
        <w:ind w:firstLine="480"/>
      </w:pPr>
      <w:r>
        <w:rPr/>
        <w:t>(二)提交</w:t>
      </w:r>
      <w:r>
        <w:rPr>
          <w:u w:val="single"/>
        </w:rPr>
        <w:t xml:space="preserve"> 此栏空白 </w:t>
      </w:r>
      <w:r>
        <w:rPr/>
        <w:t>仲裁委员会(仲裁地点为此栏空白)按照申请仲裁时该会现行有效的仲裁规则进行仲裁。仲裁裁决是终局的，对双方均有约束力。</w:t>
      </w:r>
    </w:p>
    <w:p>
      <w:pPr>
        <w:pStyle w:val="null3"/>
        <w:ind w:firstLine="480"/>
      </w:pPr>
      <w:r>
        <w:rPr/>
        <w:t>九、本保函适用中华人民共和国法律。</w:t>
      </w:r>
    </w:p>
    <w:p>
      <w:pPr>
        <w:pStyle w:val="null3"/>
        <w:ind w:firstLine="480"/>
      </w:pPr>
      <w:r>
        <w:rPr/>
        <w:t>十、其他条款:</w:t>
      </w:r>
    </w:p>
    <w:p>
      <w:pPr>
        <w:pStyle w:val="null3"/>
        <w:ind w:firstLine="480"/>
      </w:pPr>
      <w:r>
        <w:rPr/>
        <w:t>1.本保函有效期届满或提前终止，本保函自动失效，我方在本保函项下的义务与责任自动全部消灭，此后提出的任何索赔均为无效索赔，我方无义务作出任何赔付。</w:t>
      </w:r>
    </w:p>
    <w:p>
      <w:pPr>
        <w:pStyle w:val="null3"/>
        <w:ind w:firstLine="480"/>
      </w:pPr>
      <w:r>
        <w:rPr/>
        <w:t>2.所有索赔通知必须在我方工作时间内到达本保函规定的地址。</w:t>
      </w:r>
    </w:p>
    <w:p>
      <w:pPr>
        <w:pStyle w:val="null3"/>
        <w:ind w:firstLine="480"/>
      </w:pPr>
      <w:r>
        <w:rPr/>
        <w:t>十一、本保函自我方盖章之日起生效。</w:t>
      </w:r>
    </w:p>
    <w:p>
      <w:pPr>
        <w:pStyle w:val="null3"/>
      </w:pPr>
      <w:r>
        <w:rPr/>
        <w:t>保证人：___________(盖章)</w:t>
      </w:r>
    </w:p>
    <w:p>
      <w:pPr>
        <w:pStyle w:val="null3"/>
      </w:pPr>
      <w:r>
        <w:rPr/>
        <w:t>联系地址：_______________</w:t>
      </w:r>
    </w:p>
    <w:p>
      <w:pPr>
        <w:pStyle w:val="null3"/>
      </w:pPr>
      <w:r>
        <w:rPr/>
        <w:t>联系电话：_______________</w:t>
      </w:r>
    </w:p>
    <w:p>
      <w:pPr>
        <w:pStyle w:val="null3"/>
      </w:pPr>
      <w:r>
        <w:rPr/>
        <w:t>开立日期：___年___月___日</w:t>
      </w:r>
    </w:p>
    <w:p>
      <w:pPr>
        <w:pStyle w:val="null3"/>
        <w:jc w:val="center"/>
        <w:outlineLvl w:val="3"/>
      </w:pPr>
      <w:r>
        <w:rPr>
          <w:sz w:val="24"/>
          <w:b/>
        </w:rPr>
        <w:t>采购合同履约保险凭证</w:t>
      </w:r>
    </w:p>
    <w:p>
      <w:pPr>
        <w:pStyle w:val="null3"/>
      </w:pPr>
      <w:r>
        <w:rPr/>
        <w:t>致被保险人__________：</w:t>
      </w:r>
    </w:p>
    <w:p>
      <w:pPr>
        <w:pStyle w:val="null3"/>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pStyle w:val="null3"/>
        <w:ind w:firstLine="480"/>
      </w:pPr>
      <w:r>
        <w:rPr/>
        <w:t>一、我公司对上述采购项目出具的《采购合同履约保证保险》保单号：</w:t>
      </w:r>
    </w:p>
    <w:p>
      <w:pPr>
        <w:pStyle w:val="null3"/>
        <w:ind w:firstLine="480"/>
      </w:pPr>
      <w:r>
        <w:rPr/>
        <w:t>二、上述保单项下我公司的保险金额（最高限额）：人民币 （￥： 元）</w:t>
      </w:r>
    </w:p>
    <w:p>
      <w:pPr>
        <w:pStyle w:val="null3"/>
        <w:ind w:firstLine="480"/>
      </w:pPr>
      <w:r>
        <w:rPr/>
        <w:t>上述全部保险单的保险金额随投保人逐步履行采购合同约定的义务或我公司的赔付而递减。</w:t>
      </w:r>
    </w:p>
    <w:p>
      <w:pPr>
        <w:pStyle w:val="null3"/>
        <w:ind w:firstLine="480"/>
      </w:pPr>
      <w:r>
        <w:rPr/>
        <w:t>三、本保险的保险期间自____年___月___日___时起至___年___月___日___时止，共计___天。</w:t>
      </w:r>
    </w:p>
    <w:p>
      <w:pPr>
        <w:pStyle w:val="null3"/>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 xml:space="preserve"> 30 </w:t>
      </w:r>
      <w:r>
        <w:rPr/>
        <w:t>个工作日内以上述保险金额为限，支付你方索赔金额。</w:t>
      </w:r>
    </w:p>
    <w:p>
      <w:pPr>
        <w:pStyle w:val="null3"/>
        <w:ind w:firstLine="480"/>
      </w:pPr>
      <w:r>
        <w:rPr/>
        <w:t>（一）投保人未按照采购合同约定的时间、地点交付采购标的；</w:t>
      </w:r>
    </w:p>
    <w:p>
      <w:pPr>
        <w:pStyle w:val="null3"/>
        <w:ind w:firstLine="480"/>
      </w:pPr>
      <w:r>
        <w:rPr/>
        <w:t>（二）投保人供应采购标的的规格、型号、数量、质量等不符合《采购合同》的约定。</w:t>
      </w:r>
    </w:p>
    <w:p>
      <w:pPr>
        <w:pStyle w:val="null3"/>
        <w:ind w:firstLine="480"/>
      </w:pPr>
      <w:r>
        <w:rPr/>
        <w:t>五、索赔文件</w:t>
      </w:r>
    </w:p>
    <w:p>
      <w:pPr>
        <w:pStyle w:val="null3"/>
        <w:ind w:firstLine="480"/>
      </w:pPr>
      <w:r>
        <w:rPr/>
        <w:t>（一）经被保险人有权人签字、加盖被保险人公章的书面索赔声明正本，索赔声明须注明本保险凭证对应的保单号并申明如下事实：</w:t>
      </w:r>
    </w:p>
    <w:p>
      <w:pPr>
        <w:pStyle w:val="null3"/>
        <w:ind w:firstLine="480"/>
      </w:pPr>
      <w:r>
        <w:rPr/>
        <w:t>（1）投保人未履行采购合同相关义务；</w:t>
      </w:r>
    </w:p>
    <w:p>
      <w:pPr>
        <w:pStyle w:val="null3"/>
        <w:ind w:firstLine="480"/>
      </w:pPr>
      <w:r>
        <w:rPr/>
        <w:t>（2）投保人的违约事实。</w:t>
      </w:r>
    </w:p>
    <w:p>
      <w:pPr>
        <w:pStyle w:val="null3"/>
        <w:ind w:firstLine="480"/>
      </w:pPr>
      <w:r>
        <w:rPr/>
        <w:t>（二）保险单正本；</w:t>
      </w:r>
    </w:p>
    <w:p>
      <w:pPr>
        <w:pStyle w:val="null3"/>
        <w:ind w:firstLine="480"/>
      </w:pPr>
      <w:r>
        <w:rPr/>
        <w:t>（三）《采购合同》副本及与采购项目进展、质量、缺陷有关的证明文件（包括《中标通知书》、投标书及其附录、会议纪要、其他合同文件等）；</w:t>
      </w:r>
    </w:p>
    <w:p>
      <w:pPr>
        <w:pStyle w:val="null3"/>
        <w:ind w:firstLine="480"/>
      </w:pPr>
      <w:r>
        <w:rPr/>
        <w:t>（四）保险人要求投保人、被保险人所能提供的与确认保险事故的性质、原因、损失程度等有关的其他证明和资料；</w:t>
      </w:r>
    </w:p>
    <w:p>
      <w:pPr>
        <w:pStyle w:val="null3"/>
        <w:ind w:firstLine="480"/>
      </w:pPr>
      <w:r>
        <w:rPr/>
        <w:t>（五）仲裁机构出具的裁决书或法院出具的裁定书、判决书等生效法律文书（适用于仲裁或诉讼确认损失的方式）；</w:t>
      </w:r>
    </w:p>
    <w:p>
      <w:pPr>
        <w:pStyle w:val="null3"/>
        <w:ind w:firstLine="480"/>
      </w:pPr>
      <w:r>
        <w:rPr/>
        <w:t>六、未经保险人书面同意，本保险凭证与保险合同不得转让、质押，否则保险人在本保险凭证与保险合同项下的保险责任自动解除。</w:t>
      </w:r>
    </w:p>
    <w:p>
      <w:pPr>
        <w:pStyle w:val="null3"/>
        <w:ind w:firstLine="480"/>
      </w:pPr>
      <w:r>
        <w:rPr/>
        <w:t>七、本保证保险发生争议协商解决不成，向保险人所在地有管辖权的人民法院提起诉讼。</w:t>
      </w:r>
    </w:p>
    <w:p>
      <w:pPr>
        <w:pStyle w:val="null3"/>
        <w:ind w:firstLine="480"/>
      </w:pPr>
      <w:r>
        <w:rPr/>
        <w:t>八、本保证保险适用的保险条款为《_______________________》。</w:t>
      </w:r>
    </w:p>
    <w:p>
      <w:pPr>
        <w:pStyle w:val="null3"/>
        <w:ind w:firstLine="480"/>
      </w:pPr>
      <w:r>
        <w:rPr/>
        <w:t>九、保险责任免除及其他本保险凭证未载明事宜以保险合同约定为准。</w:t>
      </w:r>
    </w:p>
    <w:p>
      <w:pPr>
        <w:pStyle w:val="null3"/>
        <w:ind w:firstLine="480"/>
      </w:pPr>
      <w:r>
        <w:rPr/>
        <w:t>十、本保险凭证自保险人加盖保单专用章起生效。</w:t>
      </w:r>
    </w:p>
    <w:p>
      <w:pPr>
        <w:pStyle w:val="null3"/>
      </w:pPr>
      <w:r>
        <w:rPr/>
        <w:t>保证人：__________(盖章)</w:t>
      </w:r>
    </w:p>
    <w:p>
      <w:pPr>
        <w:pStyle w:val="null3"/>
      </w:pPr>
      <w:r>
        <w:rPr/>
        <w:t>地址：__________________</w:t>
      </w:r>
    </w:p>
    <w:p>
      <w:pPr>
        <w:pStyle w:val="null3"/>
      </w:pPr>
      <w:r>
        <w:rPr/>
        <w:t>电话：__________________</w:t>
      </w:r>
    </w:p>
    <w:p>
      <w:pPr>
        <w:pStyle w:val="null3"/>
      </w:pPr>
      <w:r>
        <w:rPr/>
        <w:t>开立日期：____年__月__日</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