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442000108-2023-00342</w:t>
      </w:r>
    </w:p>
    <w:p>
      <w:pPr>
        <w:jc w:val="center"/>
      </w:pPr>
      <w:r>
        <w:rPr>
          <w:b/>
          <w:sz w:val="24"/>
        </w:rPr>
        <w:t>采购项目编号：</w:t>
      </w:r>
      <w:r>
        <w:rPr>
          <w:b/>
          <w:sz w:val="24"/>
        </w:rPr>
        <w:t>ZSJD23ZC0099</w:t>
      </w:r>
    </w:p>
    <w:p>
      <w:pPr>
        <w:jc w:val="center"/>
      </w:pPr>
      <w:r>
        <w:rPr>
          <w:b/>
          <w:sz w:val="24"/>
        </w:rPr>
        <w:t>项目名称：</w:t>
      </w:r>
      <w:r>
        <w:rPr>
          <w:b/>
          <w:sz w:val="24"/>
        </w:rPr>
        <w:t>中山市港口镇综合治理办公室2023-2026年度社区矫正和安置帮教社会工作服务</w:t>
      </w:r>
    </w:p>
    <w:p>
      <w:pPr>
        <w:jc w:val="center"/>
      </w:pPr>
      <w:r>
        <w:rPr>
          <w:b/>
          <w:sz w:val="24"/>
        </w:rPr>
        <w:t>采购人：</w:t>
      </w:r>
      <w:r>
        <w:rPr>
          <w:b/>
          <w:sz w:val="24"/>
        </w:rPr>
        <w:t>中山市港口镇综合治理办公室</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中山市港口镇综合治理办公室</w:t>
      </w:r>
      <w:r>
        <w:rPr/>
        <w:t>的委托，采用</w:t>
      </w:r>
      <w:r>
        <w:rPr/>
        <w:t>公开招标</w:t>
      </w:r>
      <w:r>
        <w:rPr/>
        <w:t>方式组织采购</w:t>
      </w:r>
      <w:r>
        <w:rPr/>
        <w:t>中山市港口镇综合治理办公室2023-2026年度社区矫正和安置帮教社会工作服务</w:t>
      </w:r>
      <w:r>
        <w:rPr/>
        <w:t>。欢迎符合资格条件的国内供应商参加投标。</w:t>
      </w:r>
    </w:p>
    <w:p>
      <w:r>
        <w:rPr>
          <w:b/>
          <w:sz w:val="28"/>
        </w:rPr>
        <w:t>一.项目概述</w:t>
      </w:r>
    </w:p>
    <w:p>
      <w:r>
        <w:rPr>
          <w:b/>
          <w:sz w:val="24"/>
        </w:rPr>
        <w:t>1.名称与编号</w:t>
      </w:r>
    </w:p>
    <w:p>
      <w:pPr>
        <w:ind w:firstLine="480"/>
      </w:pPr>
      <w:r>
        <w:rPr/>
        <w:t>项目名称：</w:t>
      </w:r>
      <w:r>
        <w:rPr/>
        <w:t>中山市港口镇综合治理办公室2023-2026年度社区矫正和安置帮教社会工作服务</w:t>
      </w:r>
    </w:p>
    <w:p>
      <w:pPr>
        <w:ind w:firstLine="480"/>
      </w:pPr>
      <w:r>
        <w:rPr/>
        <w:t>采购计划编号：</w:t>
      </w:r>
      <w:r>
        <w:rPr/>
        <w:t>442000108-2023-00342</w:t>
      </w:r>
    </w:p>
    <w:p>
      <w:pPr>
        <w:ind w:firstLine="480"/>
      </w:pPr>
      <w:r>
        <w:rPr/>
        <w:t>采购项目编号：</w:t>
      </w:r>
      <w:r>
        <w:rPr/>
        <w:t>ZSJD23ZC0099</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采购包1(中山市港口镇综合治理办公室2023-2026年度社区矫正和安置帮教社会工作服务):</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社会工作服务</w:t>
            </w:r>
          </w:p>
        </w:tc>
        <w:tc>
          <w:tcPr>
            <w:tcW w:type="dxa" w:w="2136"/>
          </w:tcPr>
          <w:p>
            <w:r>
              <w:rPr/>
              <w:t>中山市港口镇综合治理办公室2023-2026年度社区矫正和安置帮教社会工作服务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合同履行期限：40万/年，即120万/3年。（具体以合同签订时间为准）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采购包1（中山市港口镇综合治理办公室2023-2026年度社区矫正和安置帮教社会工作服务）：</w:t>
      </w:r>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采购包1（中山市港口镇综合治理办公室2023-2026年度社区矫正和安置帮教社会工作服务）：</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广东省公共资源交易平台（https://ygp.gdzwfw.gov.cn/#/442000/index），采购代理机构网站（http://www.gdjdjl.com/）</w:t>
      </w:r>
    </w:p>
    <w:p>
      <w:r>
        <w:rPr>
          <w:b/>
          <w:sz w:val="28"/>
        </w:rPr>
        <w:t>六.本项目联系方式：</w:t>
      </w:r>
    </w:p>
    <w:p>
      <w:r>
        <w:rPr>
          <w:b/>
          <w:sz w:val="24"/>
        </w:rPr>
        <w:t>1.采购人信息</w:t>
      </w:r>
    </w:p>
    <w:p>
      <w:pPr>
        <w:ind w:firstLine="480"/>
      </w:pPr>
      <w:r>
        <w:rPr/>
        <w:t>名称：</w:t>
      </w:r>
      <w:r>
        <w:rPr/>
        <w:t>中山市港口镇综合治理办公室</w:t>
      </w:r>
    </w:p>
    <w:p>
      <w:pPr>
        <w:ind w:firstLine="480"/>
      </w:pPr>
      <w:r>
        <w:rPr/>
        <w:t>地址：</w:t>
      </w:r>
      <w:r>
        <w:rPr/>
        <w:t>中山市港口镇兴港中路168号港口镇政府大楼一楼113室</w:t>
      </w:r>
    </w:p>
    <w:p>
      <w:pPr>
        <w:ind w:firstLine="480"/>
      </w:pPr>
      <w:r>
        <w:rPr/>
        <w:t>联系方式：</w:t>
      </w:r>
      <w:r>
        <w:rPr/>
        <w:t>0760-88402424</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中山市东区小鳌溪小陂路五巷五十四号2层（中山分公司采购部）</w:t>
      </w:r>
    </w:p>
    <w:p>
      <w:pPr>
        <w:ind w:firstLine="480"/>
      </w:pPr>
      <w:r>
        <w:rPr/>
        <w:t>联系方式：</w:t>
      </w:r>
      <w:r>
        <w:rPr/>
        <w:t>0760-88399895</w:t>
      </w:r>
    </w:p>
    <w:p>
      <w:r>
        <w:rPr>
          <w:b/>
          <w:sz w:val="24"/>
        </w:rPr>
        <w:t>3.项目联系方式</w:t>
      </w:r>
    </w:p>
    <w:p>
      <w:pPr>
        <w:ind w:firstLine="480"/>
      </w:pPr>
      <w:r>
        <w:rPr/>
        <w:t>项目联系人：</w:t>
      </w:r>
      <w:r>
        <w:rPr/>
        <w:t>洪小姐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1.</w:t>
      </w:r>
      <w:r>
        <w:rPr>
          <w:b/>
          <w:sz w:val="21"/>
        </w:rPr>
        <w:t>项目概况</w:t>
      </w:r>
    </w:p>
    <w:p>
      <w:pPr>
        <w:ind w:firstLine="420"/>
        <w:jc w:val="both"/>
      </w:pPr>
      <w:r>
        <w:rPr>
          <w:sz w:val="21"/>
        </w:rPr>
        <w:t>社区矫正对象包括缓刑、管制、假释及监外执行四种罪犯，由司法行政部门及其派出机构在相关社会团体和民间组织以及社会志愿者的协助下，在判决、裁定或决定确定的期限内，将上述四种罪犯置于社区内执行非监禁刑罚，矫正其犯罪心理和行为恶习，并促使其顺利回归社会。</w:t>
      </w:r>
    </w:p>
    <w:p>
      <w:pPr>
        <w:ind w:firstLine="420"/>
        <w:jc w:val="both"/>
      </w:pPr>
      <w:r>
        <w:rPr>
          <w:sz w:val="21"/>
        </w:rPr>
        <w:t>安置帮教对象指刑满释放</w:t>
      </w:r>
      <w:r>
        <w:rPr>
          <w:sz w:val="21"/>
        </w:rPr>
        <w:t>5年以内和解矫3年以内的人员，在各级政府领导下，依靠各有关部门和社会力量对其进行非强制性的引导、扶助、教育和管理。</w:t>
      </w:r>
    </w:p>
    <w:p>
      <w:pPr>
        <w:ind w:firstLine="420"/>
        <w:jc w:val="left"/>
      </w:pPr>
      <w:r>
        <w:rPr>
          <w:sz w:val="21"/>
        </w:rPr>
        <w:t>截止</w:t>
      </w:r>
      <w:r>
        <w:rPr>
          <w:sz w:val="21"/>
        </w:rPr>
        <w:t>2023年9月</w:t>
      </w:r>
      <w:r>
        <w:rPr>
          <w:sz w:val="21"/>
        </w:rPr>
        <w:t>，中山市港口镇在册社区矫正对象</w:t>
      </w:r>
      <w:r>
        <w:rPr>
          <w:sz w:val="21"/>
        </w:rPr>
        <w:t>63人，安置帮教对象293人。根据《广东省社区矫正实施办法细则》和《中共中山市委中山市人民政府关于加强社会建设、创新社会管理的实施意见》（中委[2011]14号）的要求，结合中山市港口镇的实际情况，拟在</w:t>
      </w:r>
      <w:r>
        <w:rPr>
          <w:sz w:val="21"/>
        </w:rPr>
        <w:t>2023</w:t>
      </w:r>
      <w:r>
        <w:rPr>
          <w:sz w:val="21"/>
        </w:rPr>
        <w:t>-</w:t>
      </w:r>
      <w:r>
        <w:rPr>
          <w:sz w:val="21"/>
        </w:rPr>
        <w:t>2026</w:t>
      </w:r>
      <w:r>
        <w:rPr>
          <w:sz w:val="21"/>
        </w:rPr>
        <w:t>年度开展社区矫正和安置帮教社工服务，以帮助上述人员从思想上、心理上、行为上得到改变，尽快适应家庭和社会生活，预防和减少重新违法犯罪的发生，以维护社会和谐稳定为目标，积极构建融合的社会关系。</w:t>
      </w:r>
    </w:p>
    <w:p>
      <w:pPr>
        <w:ind w:firstLine="420"/>
        <w:jc w:val="left"/>
      </w:pPr>
    </w:p>
    <w:p>
      <w:pPr>
        <w:jc w:val="both"/>
      </w:pPr>
      <w:r>
        <w:rPr>
          <w:b/>
          <w:sz w:val="21"/>
        </w:rPr>
        <w:t>2.</w:t>
      </w:r>
      <w:r>
        <w:rPr>
          <w:b/>
          <w:sz w:val="21"/>
        </w:rPr>
        <w:t>项目内容</w:t>
      </w:r>
    </w:p>
    <w:p>
      <w:pPr>
        <w:ind w:firstLine="420"/>
        <w:jc w:val="both"/>
      </w:pPr>
      <w:r>
        <w:rPr>
          <w:sz w:val="21"/>
        </w:rPr>
        <w:t>根据《中共中山市委办公室中山市人民政府办公室关于加强社区矫正和安置帮教工作的意见》（中山办字〔</w:t>
      </w:r>
      <w:r>
        <w:rPr>
          <w:sz w:val="21"/>
        </w:rPr>
        <w:t>2014〕16号）和平安中山建设等文件要求，拟配备4名社区矫正和安置帮教社会工作者，配合中山市港口镇司法所开展调查评估、协助开展监督管理、组织开展教育帮扶、组织开展其他帮扶、协助远程视频会见管理、社区矫正工作宣传等服务；提供安置帮教对象就业培训与指导、帮教解困、安置基地建设以及服刑人员子女等重点青少年帮教服务，助矫志愿服务；建立健全社区矫正和安置帮教服务体系；帮助服务对象思想上、心理上、行为上得到改变，尽快适应家庭和社会生活，预防和减少重新违法犯罪的发生，维护社会和谐和稳定。</w:t>
      </w:r>
    </w:p>
    <w:tbl>
      <w:tblPr>
        <w:tblW w:w="0" w:type="auto"/>
        <w:tblBorders>
          <w:top w:val="none" w:color="000000" w:sz="4"/>
          <w:left w:val="none" w:color="000000" w:sz="4"/>
          <w:bottom w:val="none" w:color="000000" w:sz="4"/>
          <w:right w:val="none" w:color="000000" w:sz="4"/>
          <w:insideH w:val="none"/>
          <w:insideV w:val="none"/>
        </w:tblBorders>
      </w:tblPr>
      <w:tblGrid>
        <w:gridCol w:w="707"/>
        <w:gridCol w:w="5342"/>
        <w:gridCol w:w="2250"/>
      </w:tblGrid>
      <w:tr>
        <w:tc>
          <w:tcPr>
            <w:tcW w:type="dxa" w:w="707"/>
            <w:tcBorders>
              <w:top w:val="double" w:color="000000" w:sz="4"/>
              <w:left w:val="double" w:color="000000" w:sz="4"/>
              <w:bottom w:val="single" w:color="000000" w:sz="4"/>
              <w:right w:val="single" w:color="000000" w:sz="4"/>
            </w:tcBorders>
            <w:shd w:fill="BFBFBF"/>
            <w:vAlign w:val="top"/>
          </w:tcPr>
          <w:p>
            <w:pPr>
              <w:jc w:val="center"/>
            </w:pPr>
            <w:r>
              <w:rPr>
                <w:b/>
                <w:sz w:val="21"/>
              </w:rPr>
              <w:t>人员配置</w:t>
            </w:r>
          </w:p>
        </w:tc>
        <w:tc>
          <w:tcPr>
            <w:tcW w:type="dxa" w:w="5342"/>
            <w:tcBorders>
              <w:top w:val="double" w:color="000000" w:sz="4"/>
              <w:left w:val="none" w:color="000000" w:sz="4"/>
              <w:bottom w:val="single" w:color="000000" w:sz="4"/>
              <w:right w:val="double" w:color="000000" w:sz="4"/>
            </w:tcBorders>
            <w:shd w:fill="BFBFBF"/>
            <w:vAlign w:val="top"/>
          </w:tcPr>
          <w:p>
            <w:pPr>
              <w:jc w:val="center"/>
            </w:pPr>
            <w:r>
              <w:rPr>
                <w:b/>
                <w:sz w:val="21"/>
              </w:rPr>
              <w:t>工作内容</w:t>
            </w:r>
          </w:p>
        </w:tc>
        <w:tc>
          <w:tcPr>
            <w:tcW w:type="dxa" w:w="2250"/>
            <w:tcBorders>
              <w:top w:val="double" w:color="000000" w:sz="4"/>
              <w:left w:val="single" w:color="000000" w:sz="4"/>
              <w:bottom w:val="single" w:color="000000" w:sz="4"/>
              <w:right w:val="double" w:color="000000" w:sz="4"/>
            </w:tcBorders>
            <w:shd w:fill="BFBFBF"/>
            <w:vAlign w:val="top"/>
          </w:tcPr>
          <w:p>
            <w:pPr>
              <w:jc w:val="center"/>
            </w:pPr>
            <w:r>
              <w:rPr>
                <w:b/>
                <w:sz w:val="21"/>
              </w:rPr>
              <w:t>详细要求</w:t>
            </w:r>
          </w:p>
        </w:tc>
      </w:tr>
      <w:tr>
        <w:tc>
          <w:tcPr>
            <w:tcW w:type="dxa" w:w="707"/>
            <w:tcBorders>
              <w:top w:val="none" w:color="000000" w:sz="4"/>
              <w:left w:val="double" w:color="000000" w:sz="4"/>
              <w:bottom w:val="single" w:color="000000" w:sz="4"/>
              <w:right w:val="single" w:color="000000" w:sz="4"/>
            </w:tcBorders>
            <w:vAlign w:val="top"/>
          </w:tcPr>
          <w:p>
            <w:pPr>
              <w:jc w:val="center"/>
            </w:pPr>
            <w:r>
              <w:rPr>
                <w:sz w:val="21"/>
              </w:rPr>
              <w:t>项目主任</w:t>
            </w:r>
          </w:p>
        </w:tc>
        <w:tc>
          <w:tcPr>
            <w:tcW w:type="dxa" w:w="5342"/>
            <w:tcBorders>
              <w:top w:val="none" w:color="000000" w:sz="4"/>
              <w:left w:val="none" w:color="000000" w:sz="4"/>
              <w:bottom w:val="single" w:color="000000" w:sz="4"/>
              <w:right w:val="double" w:color="000000" w:sz="4"/>
            </w:tcBorders>
            <w:vAlign w:val="top"/>
          </w:tcPr>
          <w:p>
            <w:pPr>
              <w:jc w:val="both"/>
            </w:pPr>
            <w:r>
              <w:rPr>
                <w:sz w:val="21"/>
              </w:rPr>
              <w:t>服务统筹、规划、推动服务开展、进度把控、总结、提炼；与采购人沟通、汇报；培训、指导团队成员；部分走访、面谈、活动、心理辅导服务等。</w:t>
            </w:r>
          </w:p>
        </w:tc>
        <w:tc>
          <w:tcPr>
            <w:tcW w:type="dxa" w:w="2250"/>
            <w:tcBorders>
              <w:top w:val="none" w:color="000000" w:sz="4"/>
              <w:left w:val="single" w:color="000000" w:sz="4"/>
              <w:bottom w:val="single" w:color="000000" w:sz="4"/>
              <w:right w:val="double" w:color="000000" w:sz="4"/>
            </w:tcBorders>
            <w:vAlign w:val="top"/>
          </w:tcPr>
          <w:p>
            <w:pPr>
              <w:jc w:val="both"/>
            </w:pPr>
            <w:r>
              <w:rPr>
                <w:sz w:val="21"/>
              </w:rPr>
              <w:t>项目主任需持有中级及以上社工资格</w:t>
            </w:r>
            <w:r>
              <w:rPr>
                <w:sz w:val="21"/>
              </w:rPr>
              <w:t>证</w:t>
            </w:r>
          </w:p>
        </w:tc>
      </w:tr>
      <w:tr>
        <w:tc>
          <w:tcPr>
            <w:tcW w:type="dxa" w:w="707"/>
            <w:tcBorders>
              <w:top w:val="none" w:color="000000" w:sz="4"/>
              <w:left w:val="double" w:color="000000" w:sz="4"/>
              <w:bottom w:val="single" w:color="000000" w:sz="4"/>
              <w:right w:val="single" w:color="000000" w:sz="4"/>
            </w:tcBorders>
            <w:vAlign w:val="top"/>
          </w:tcPr>
          <w:p>
            <w:pPr>
              <w:jc w:val="center"/>
            </w:pPr>
            <w:r>
              <w:rPr>
                <w:sz w:val="21"/>
              </w:rPr>
              <w:t>社工</w:t>
            </w:r>
          </w:p>
        </w:tc>
        <w:tc>
          <w:tcPr>
            <w:tcW w:type="dxa" w:w="5342"/>
            <w:tcBorders>
              <w:top w:val="none" w:color="000000" w:sz="4"/>
              <w:left w:val="none" w:color="000000" w:sz="4"/>
              <w:bottom w:val="single" w:color="000000" w:sz="4"/>
              <w:right w:val="double" w:color="000000" w:sz="4"/>
            </w:tcBorders>
            <w:vAlign w:val="top"/>
          </w:tcPr>
          <w:p>
            <w:pPr>
              <w:jc w:val="both"/>
            </w:pPr>
            <w:r>
              <w:rPr>
                <w:sz w:val="21"/>
              </w:rPr>
              <w:t>对社区矫正对象开展档案整理、日常跟进、动态管理、走访面谈、心理咨询、个案跟进、困难帮教、组织活动和教育学习等工作。</w:t>
            </w:r>
          </w:p>
        </w:tc>
        <w:tc>
          <w:tcPr>
            <w:tcW w:type="dxa" w:w="2250"/>
            <w:tcBorders>
              <w:top w:val="none" w:color="000000" w:sz="4"/>
              <w:left w:val="single" w:color="000000" w:sz="4"/>
              <w:bottom w:val="single" w:color="000000" w:sz="4"/>
              <w:right w:val="double" w:color="000000" w:sz="4"/>
            </w:tcBorders>
            <w:vAlign w:val="top"/>
          </w:tcPr>
          <w:p>
            <w:pPr>
              <w:jc w:val="both"/>
            </w:pPr>
            <w:r>
              <w:rPr>
                <w:sz w:val="21"/>
              </w:rPr>
              <w:t>4名社工</w:t>
            </w:r>
            <w:r>
              <w:rPr>
                <w:sz w:val="21"/>
              </w:rPr>
              <w:t>，</w:t>
            </w:r>
            <w:r>
              <w:rPr>
                <w:sz w:val="21"/>
              </w:rPr>
              <w:t>均需持有初级及以上社工资格证，至少</w:t>
            </w:r>
            <w:r>
              <w:rPr>
                <w:sz w:val="21"/>
              </w:rPr>
              <w:t>1名具备心理咨询师资格证书，学历要求中专以上</w:t>
            </w:r>
          </w:p>
        </w:tc>
      </w:tr>
      <w:tr>
        <w:tc>
          <w:tcPr>
            <w:tcW w:type="dxa" w:w="8299"/>
            <w:gridSpan w:val="3"/>
            <w:tcBorders>
              <w:top w:val="none" w:color="000000" w:sz="4"/>
              <w:left w:val="double" w:color="000000" w:sz="4"/>
              <w:bottom w:val="single" w:color="000000" w:sz="4"/>
              <w:right w:val="double" w:color="000000" w:sz="4"/>
            </w:tcBorders>
            <w:vAlign w:val="top"/>
          </w:tcPr>
          <w:p>
            <w:pPr>
              <w:jc w:val="left"/>
            </w:pPr>
            <w:r>
              <w:rPr>
                <w:sz w:val="21"/>
              </w:rPr>
              <w:t>其他支持：</w:t>
            </w:r>
          </w:p>
        </w:tc>
      </w:tr>
      <w:tr>
        <w:tc>
          <w:tcPr>
            <w:tcW w:type="dxa" w:w="707"/>
            <w:tcBorders>
              <w:top w:val="none" w:color="000000" w:sz="4"/>
              <w:left w:val="double" w:color="000000" w:sz="4"/>
              <w:bottom w:val="single" w:color="000000" w:sz="4"/>
              <w:right w:val="single" w:color="000000" w:sz="4"/>
            </w:tcBorders>
            <w:vAlign w:val="top"/>
          </w:tcPr>
          <w:p>
            <w:pPr>
              <w:jc w:val="center"/>
            </w:pPr>
            <w:r>
              <w:rPr>
                <w:sz w:val="21"/>
              </w:rPr>
              <w:t>督导</w:t>
            </w:r>
          </w:p>
        </w:tc>
        <w:tc>
          <w:tcPr>
            <w:tcW w:type="dxa" w:w="5342"/>
            <w:tcBorders>
              <w:top w:val="single" w:color="000000" w:sz="4"/>
              <w:left w:val="none" w:color="000000" w:sz="4"/>
              <w:bottom w:val="single" w:color="000000" w:sz="4"/>
              <w:right w:val="double" w:color="000000" w:sz="4"/>
            </w:tcBorders>
            <w:vAlign w:val="top"/>
          </w:tcPr>
          <w:p>
            <w:pPr>
              <w:jc w:val="both"/>
            </w:pPr>
            <w:r>
              <w:rPr>
                <w:sz w:val="21"/>
              </w:rPr>
              <w:t>督导咨询、能力提升培训、疑难个案服务介入指导</w:t>
            </w:r>
            <w:r>
              <w:rPr>
                <w:sz w:val="21"/>
              </w:rPr>
              <w:t>、情感支持。</w:t>
            </w:r>
          </w:p>
        </w:tc>
        <w:tc>
          <w:tcPr>
            <w:tcW w:type="dxa" w:w="2250"/>
            <w:tcBorders>
              <w:top w:val="single" w:color="000000" w:sz="4"/>
              <w:left w:val="single" w:color="000000" w:sz="4"/>
              <w:bottom w:val="single" w:color="000000" w:sz="4"/>
              <w:right w:val="double" w:color="000000" w:sz="4"/>
            </w:tcBorders>
            <w:vAlign w:val="top"/>
          </w:tcPr>
          <w:p>
            <w:pPr>
              <w:jc w:val="center"/>
            </w:pPr>
            <w:r>
              <w:rPr>
                <w:sz w:val="21"/>
              </w:rPr>
              <w:t>/</w:t>
            </w:r>
          </w:p>
        </w:tc>
      </w:tr>
      <w:tr>
        <w:tc>
          <w:tcPr>
            <w:tcW w:type="dxa" w:w="707"/>
            <w:tcBorders>
              <w:top w:val="none" w:color="000000" w:sz="4"/>
              <w:left w:val="double" w:color="000000" w:sz="4"/>
              <w:bottom w:val="double" w:color="000000" w:sz="4"/>
              <w:right w:val="single" w:color="000000" w:sz="4"/>
            </w:tcBorders>
            <w:vAlign w:val="top"/>
          </w:tcPr>
          <w:p>
            <w:pPr>
              <w:jc w:val="center"/>
            </w:pPr>
            <w:r>
              <w:rPr>
                <w:sz w:val="21"/>
              </w:rPr>
              <w:t>机构</w:t>
            </w:r>
          </w:p>
        </w:tc>
        <w:tc>
          <w:tcPr>
            <w:tcW w:type="dxa" w:w="5342"/>
            <w:tcBorders>
              <w:top w:val="none" w:color="000000" w:sz="4"/>
              <w:left w:val="none" w:color="000000" w:sz="4"/>
              <w:bottom w:val="double" w:color="000000" w:sz="4"/>
              <w:right w:val="double" w:color="000000" w:sz="4"/>
            </w:tcBorders>
            <w:vAlign w:val="top"/>
          </w:tcPr>
          <w:p>
            <w:pPr>
              <w:jc w:val="both"/>
            </w:pPr>
            <w:r>
              <w:rPr>
                <w:sz w:val="21"/>
              </w:rPr>
              <w:t>指导、行政、后勤、财务管理支持；内部评估，质量监督、服务优化。</w:t>
            </w:r>
          </w:p>
        </w:tc>
        <w:tc>
          <w:tcPr>
            <w:tcW w:type="dxa" w:w="2250"/>
            <w:tcBorders>
              <w:top w:val="none" w:color="000000" w:sz="4"/>
              <w:left w:val="single" w:color="000000" w:sz="4"/>
              <w:bottom w:val="double" w:color="000000" w:sz="4"/>
              <w:right w:val="double" w:color="000000" w:sz="4"/>
            </w:tcBorders>
            <w:vAlign w:val="top"/>
          </w:tcPr>
          <w:p>
            <w:pPr>
              <w:jc w:val="center"/>
            </w:pPr>
            <w:r>
              <w:rPr>
                <w:sz w:val="21"/>
              </w:rPr>
              <w:t>/</w:t>
            </w:r>
          </w:p>
        </w:tc>
      </w:tr>
    </w:tbl>
    <w:p>
      <w:pPr>
        <w:jc w:val="both"/>
      </w:pPr>
    </w:p>
    <w:p>
      <w:pPr>
        <w:jc w:val="both"/>
      </w:pPr>
      <w:r>
        <w:rPr>
          <w:b/>
          <w:sz w:val="21"/>
        </w:rPr>
        <w:t>3.</w:t>
      </w:r>
      <w:r>
        <w:rPr>
          <w:b/>
          <w:sz w:val="21"/>
        </w:rPr>
        <w:t>需求分析</w:t>
      </w:r>
    </w:p>
    <w:p>
      <w:pPr>
        <w:ind w:firstLine="420"/>
        <w:jc w:val="left"/>
      </w:pPr>
      <w:r>
        <w:rPr>
          <w:sz w:val="21"/>
        </w:rPr>
        <w:t>3.1</w:t>
      </w:r>
      <w:r>
        <w:rPr>
          <w:sz w:val="21"/>
        </w:rPr>
        <w:t>法律教育的需要。</w:t>
      </w:r>
    </w:p>
    <w:p>
      <w:pPr>
        <w:ind w:firstLine="420"/>
        <w:jc w:val="left"/>
      </w:pPr>
      <w:r>
        <w:rPr>
          <w:sz w:val="21"/>
        </w:rPr>
        <w:t>3.2</w:t>
      </w:r>
      <w:r>
        <w:rPr>
          <w:sz w:val="21"/>
        </w:rPr>
        <w:t>情绪疏导、心理支持的需求。</w:t>
      </w:r>
    </w:p>
    <w:p>
      <w:pPr>
        <w:ind w:firstLine="420"/>
        <w:jc w:val="left"/>
      </w:pPr>
      <w:r>
        <w:rPr>
          <w:sz w:val="21"/>
        </w:rPr>
        <w:t>3.3</w:t>
      </w:r>
      <w:r>
        <w:rPr>
          <w:sz w:val="21"/>
        </w:rPr>
        <w:t>社会交往，平等参与社会生活、社区融入的需求。</w:t>
      </w:r>
    </w:p>
    <w:p>
      <w:pPr>
        <w:ind w:firstLine="420"/>
        <w:jc w:val="left"/>
      </w:pPr>
      <w:r>
        <w:rPr>
          <w:sz w:val="21"/>
        </w:rPr>
        <w:t>3.4</w:t>
      </w:r>
      <w:r>
        <w:rPr>
          <w:sz w:val="21"/>
        </w:rPr>
        <w:t>家庭关系调解的需要。</w:t>
      </w:r>
    </w:p>
    <w:p>
      <w:pPr>
        <w:ind w:firstLine="420"/>
        <w:jc w:val="left"/>
      </w:pPr>
      <w:r>
        <w:rPr>
          <w:sz w:val="21"/>
        </w:rPr>
        <w:t>3.5</w:t>
      </w:r>
      <w:r>
        <w:rPr>
          <w:sz w:val="21"/>
        </w:rPr>
        <w:t>帮教解困，真正回归的需要。</w:t>
      </w:r>
    </w:p>
    <w:p>
      <w:pPr>
        <w:ind w:firstLine="420"/>
        <w:jc w:val="left"/>
      </w:pPr>
      <w:r>
        <w:rPr>
          <w:sz w:val="21"/>
        </w:rPr>
        <w:t>3.6</w:t>
      </w:r>
      <w:r>
        <w:rPr>
          <w:sz w:val="21"/>
        </w:rPr>
        <w:t>接受教育、提升自我能力的需求。</w:t>
      </w:r>
    </w:p>
    <w:p>
      <w:pPr>
        <w:ind w:firstLine="420"/>
        <w:jc w:val="left"/>
      </w:pPr>
      <w:r>
        <w:rPr>
          <w:sz w:val="21"/>
        </w:rPr>
        <w:t>3.7</w:t>
      </w:r>
      <w:r>
        <w:rPr>
          <w:sz w:val="21"/>
        </w:rPr>
        <w:t>参加劳动与就业，实现自我价值的需求。</w:t>
      </w:r>
    </w:p>
    <w:p>
      <w:pPr>
        <w:jc w:val="left"/>
      </w:pPr>
    </w:p>
    <w:p>
      <w:pPr>
        <w:jc w:val="both"/>
      </w:pPr>
      <w:r>
        <w:rPr>
          <w:b/>
          <w:sz w:val="21"/>
        </w:rPr>
        <w:t>4.</w:t>
      </w:r>
      <w:r>
        <w:rPr>
          <w:b/>
          <w:sz w:val="21"/>
        </w:rPr>
        <w:t>项目目标</w:t>
      </w:r>
    </w:p>
    <w:p>
      <w:pPr>
        <w:ind w:firstLine="420"/>
        <w:jc w:val="left"/>
      </w:pPr>
      <w:r>
        <w:rPr>
          <w:color w:val="000000"/>
          <w:sz w:val="21"/>
        </w:rPr>
        <w:t>4.1</w:t>
      </w:r>
      <w:r>
        <w:rPr>
          <w:sz w:val="21"/>
        </w:rPr>
        <w:t>社区矫正对象：建档率</w:t>
      </w:r>
      <w:r>
        <w:rPr>
          <w:sz w:val="21"/>
        </w:rPr>
        <w:t>100%；社区矫正对象脱管和漏管率保持为零；无因工作人员失职导致的社区矫正对象重新犯罪，社区矫正对象重新犯罪率低于2‰；</w:t>
      </w:r>
    </w:p>
    <w:p>
      <w:pPr>
        <w:ind w:firstLine="420"/>
        <w:jc w:val="left"/>
      </w:pPr>
      <w:r>
        <w:rPr>
          <w:color w:val="000000"/>
          <w:sz w:val="21"/>
        </w:rPr>
        <w:t>4.2</w:t>
      </w:r>
      <w:r>
        <w:rPr>
          <w:sz w:val="21"/>
        </w:rPr>
        <w:t>安置帮教：帮教率</w:t>
      </w:r>
      <w:r>
        <w:rPr>
          <w:sz w:val="21"/>
        </w:rPr>
        <w:t>100%，安置率90%；无因工作人员失职导致的安置帮教对象重新犯罪，安置帮教对象重新犯罪率低于3%以下</w:t>
      </w:r>
      <w:r>
        <w:rPr>
          <w:sz w:val="21"/>
        </w:rPr>
        <w:t>。</w:t>
      </w:r>
    </w:p>
    <w:p>
      <w:pPr>
        <w:jc w:val="left"/>
      </w:pPr>
    </w:p>
    <w:p>
      <w:pPr>
        <w:jc w:val="both"/>
      </w:pPr>
      <w:r>
        <w:rPr>
          <w:b/>
          <w:sz w:val="21"/>
        </w:rPr>
        <w:t>5.</w:t>
      </w:r>
      <w:r>
        <w:rPr>
          <w:b/>
          <w:sz w:val="21"/>
        </w:rPr>
        <w:t>服务</w:t>
      </w:r>
      <w:r>
        <w:rPr>
          <w:b/>
          <w:sz w:val="21"/>
        </w:rPr>
        <w:t>类型</w:t>
      </w:r>
    </w:p>
    <w:p>
      <w:pPr>
        <w:ind w:firstLine="420"/>
        <w:jc w:val="both"/>
      </w:pPr>
      <w:r>
        <w:rPr>
          <w:sz w:val="21"/>
        </w:rPr>
        <w:t>5.1</w:t>
      </w:r>
      <w:r>
        <w:rPr>
          <w:sz w:val="21"/>
        </w:rPr>
        <w:t>配合开展调查评估。在社区矫正机构的指导下</w:t>
      </w:r>
      <w:r>
        <w:rPr>
          <w:sz w:val="21"/>
        </w:rPr>
        <w:t>,接受社区矫正决定机关的委托,对被告人或者罪犯的社会危险性和对所居住社会的影响进行调查评估。社会组织开展调查评估按照《广东省社区矫正实施细则》的规定执行。</w:t>
      </w:r>
    </w:p>
    <w:p>
      <w:pPr>
        <w:ind w:firstLine="420"/>
        <w:jc w:val="both"/>
      </w:pPr>
      <w:r>
        <w:rPr>
          <w:sz w:val="21"/>
        </w:rPr>
        <w:t>5.2</w:t>
      </w:r>
      <w:r>
        <w:rPr>
          <w:sz w:val="21"/>
        </w:rPr>
        <w:t>协助开展监督管理。根据社区矫正对象的再犯罪风险、心理健康、认知行为、现实表现等情况</w:t>
      </w:r>
      <w:r>
        <w:rPr>
          <w:sz w:val="21"/>
        </w:rPr>
        <w:t>,协助社区矫正机构制定矫正方案,并依据社区矫正对象基本情况的变化适时进行调整。根据社区矫正机构的委托,对社区矫正对象再犯罪风险进行评估。协助社区矫正机构督促社区矫正对象按时完成生物验证、电话报告,到社区矫正机构、司法所报到,书面报告思想和活动情况,组织个别谈话教育等。</w:t>
      </w:r>
    </w:p>
    <w:p>
      <w:pPr>
        <w:ind w:firstLine="420"/>
        <w:jc w:val="both"/>
      </w:pPr>
      <w:r>
        <w:rPr>
          <w:sz w:val="21"/>
        </w:rPr>
        <w:t>5.3</w:t>
      </w:r>
      <w:r>
        <w:rPr>
          <w:sz w:val="21"/>
        </w:rPr>
        <w:t>组织开展教育帮教。根据社区矫正对象的年龄、犯罪类型、犯罪原因、刑事执行类型等情况</w:t>
      </w:r>
      <w:r>
        <w:rPr>
          <w:sz w:val="21"/>
        </w:rPr>
        <w:t>,分类组织开展法律、道德、心理、认知、行为等教育帮教活动。内容包括法律法规、行为矫正、家庭关系、职业规划、社会适应、人际关系、心理健康、情绪调控、压力管理等。</w:t>
      </w:r>
    </w:p>
    <w:p>
      <w:pPr>
        <w:ind w:firstLine="420"/>
        <w:jc w:val="both"/>
      </w:pPr>
      <w:r>
        <w:rPr>
          <w:sz w:val="21"/>
        </w:rPr>
        <w:t>5.4</w:t>
      </w:r>
      <w:r>
        <w:rPr>
          <w:sz w:val="21"/>
        </w:rPr>
        <w:t>组织开展其他帮教。根据社区矫正对象需求</w:t>
      </w:r>
      <w:r>
        <w:rPr>
          <w:sz w:val="21"/>
        </w:rPr>
        <w:t>,链接社会资源,协调有关部门及其他社会力量,为有需求的社区矫正对象实现就业就学、获得社会救济、落实基本社会保障等提供帮教,促进社区矫正对象更好地接受社区矫正,顺利融入社会。</w:t>
      </w:r>
    </w:p>
    <w:p>
      <w:pPr>
        <w:ind w:firstLine="420"/>
        <w:jc w:val="both"/>
      </w:pPr>
      <w:r>
        <w:rPr>
          <w:sz w:val="21"/>
        </w:rPr>
        <w:t>5.5</w:t>
      </w:r>
      <w:r>
        <w:rPr>
          <w:sz w:val="21"/>
        </w:rPr>
        <w:t>协助远程视频会见管理。为亲属、监护人办理视频会见申请。现场现场管理：查验、核实会见人身份证件，进行安全检查，落实管控措施，告知其应当遵守视频会见管理规定，组织有序会见。</w:t>
      </w:r>
    </w:p>
    <w:p>
      <w:pPr>
        <w:jc w:val="both"/>
      </w:pPr>
    </w:p>
    <w:p>
      <w:pPr>
        <w:jc w:val="both"/>
      </w:pPr>
      <w:r>
        <w:rPr>
          <w:b/>
          <w:sz w:val="21"/>
        </w:rPr>
        <w:t>6.</w:t>
      </w:r>
      <w:r>
        <w:rPr>
          <w:b/>
          <w:sz w:val="21"/>
        </w:rPr>
        <w:t>服务内容</w:t>
      </w:r>
    </w:p>
    <w:p>
      <w:pPr>
        <w:ind w:firstLine="420"/>
        <w:jc w:val="both"/>
      </w:pPr>
      <w:r>
        <w:rPr>
          <w:sz w:val="21"/>
        </w:rPr>
        <w:t>6.1</w:t>
      </w:r>
      <w:r>
        <w:rPr>
          <w:sz w:val="21"/>
        </w:rPr>
        <w:t>常规服务</w:t>
      </w:r>
    </w:p>
    <w:p>
      <w:pPr>
        <w:ind w:firstLine="420"/>
        <w:jc w:val="both"/>
      </w:pPr>
      <w:r>
        <w:rPr>
          <w:sz w:val="21"/>
        </w:rPr>
        <w:t>(1)</w:t>
      </w:r>
      <w:r>
        <w:rPr>
          <w:sz w:val="21"/>
        </w:rPr>
        <w:t>前期介入</w:t>
      </w:r>
    </w:p>
    <w:p>
      <w:pPr>
        <w:ind w:firstLine="420"/>
        <w:jc w:val="both"/>
      </w:pPr>
      <w:r>
        <w:rPr>
          <w:sz w:val="21"/>
        </w:rPr>
        <w:t>做好入矫对接准备，向当地司法所、社区及家属了解社区矫正对象基本信息。</w:t>
      </w:r>
    </w:p>
    <w:p>
      <w:pPr>
        <w:ind w:firstLine="420"/>
        <w:jc w:val="both"/>
      </w:pPr>
      <w:r>
        <w:rPr>
          <w:sz w:val="21"/>
        </w:rPr>
        <w:t>(2)</w:t>
      </w:r>
      <w:r>
        <w:rPr>
          <w:sz w:val="21"/>
        </w:rPr>
        <w:t>报到建档</w:t>
      </w:r>
    </w:p>
    <w:p>
      <w:pPr>
        <w:ind w:firstLine="420"/>
        <w:jc w:val="both"/>
      </w:pPr>
      <w:r>
        <w:rPr>
          <w:sz w:val="21"/>
        </w:rPr>
        <w:t>社区矫正对象按规定时间到执行地报到后，社会工作者开展的工作包括但不限于以下内容：</w:t>
      </w:r>
    </w:p>
    <w:p>
      <w:pPr>
        <w:ind w:firstLine="420"/>
        <w:jc w:val="both"/>
      </w:pPr>
      <w:r>
        <w:rPr>
          <w:sz w:val="21"/>
        </w:rPr>
        <w:t>①　</w:t>
      </w:r>
      <w:r>
        <w:rPr>
          <w:sz w:val="21"/>
        </w:rPr>
        <w:t>应了解社区矫正对象基本信息；</w:t>
      </w:r>
    </w:p>
    <w:p>
      <w:pPr>
        <w:ind w:firstLine="420"/>
        <w:jc w:val="both"/>
      </w:pPr>
      <w:r>
        <w:rPr>
          <w:sz w:val="21"/>
        </w:rPr>
        <w:t>②　</w:t>
      </w:r>
      <w:r>
        <w:rPr>
          <w:sz w:val="21"/>
        </w:rPr>
        <w:t>应向社区矫正对象宣传社区矫正的相关法律、法规、政策规定</w:t>
      </w:r>
      <w:r>
        <w:rPr>
          <w:sz w:val="21"/>
        </w:rPr>
        <w:t>;</w:t>
      </w:r>
    </w:p>
    <w:p>
      <w:pPr>
        <w:ind w:firstLine="420"/>
        <w:jc w:val="both"/>
      </w:pPr>
      <w:r>
        <w:rPr>
          <w:sz w:val="21"/>
        </w:rPr>
        <w:t>③　</w:t>
      </w:r>
      <w:r>
        <w:rPr>
          <w:sz w:val="21"/>
        </w:rPr>
        <w:t>协助社区矫正对象签订社区矫正协议书、权利义务告知书</w:t>
      </w:r>
      <w:r>
        <w:rPr>
          <w:sz w:val="21"/>
        </w:rPr>
        <w:t>;</w:t>
      </w:r>
    </w:p>
    <w:p>
      <w:pPr>
        <w:ind w:firstLine="420"/>
        <w:jc w:val="both"/>
      </w:pPr>
      <w:r>
        <w:rPr>
          <w:sz w:val="21"/>
        </w:rPr>
        <w:t>④　</w:t>
      </w:r>
      <w:r>
        <w:rPr>
          <w:sz w:val="21"/>
        </w:rPr>
        <w:t>应为社区矫正对象建立档案。</w:t>
      </w:r>
    </w:p>
    <w:p>
      <w:pPr>
        <w:ind w:firstLine="420"/>
        <w:jc w:val="both"/>
      </w:pPr>
      <w:r>
        <w:rPr>
          <w:sz w:val="21"/>
        </w:rPr>
        <w:t>6.2</w:t>
      </w:r>
      <w:r>
        <w:rPr>
          <w:sz w:val="21"/>
        </w:rPr>
        <w:t>评估</w:t>
      </w:r>
    </w:p>
    <w:p>
      <w:pPr>
        <w:ind w:firstLine="420"/>
        <w:jc w:val="both"/>
      </w:pPr>
      <w:r>
        <w:rPr>
          <w:sz w:val="21"/>
        </w:rPr>
        <w:t>社会工作者对社区矫正对象应开展评估工作，了解其面临的问题及需求，工作包括但不限于以下内容：</w:t>
      </w:r>
    </w:p>
    <w:p>
      <w:pPr>
        <w:ind w:firstLine="420"/>
        <w:jc w:val="both"/>
      </w:pPr>
      <w:r>
        <w:rPr>
          <w:sz w:val="21"/>
        </w:rPr>
        <w:t>(1)</w:t>
      </w:r>
      <w:r>
        <w:rPr>
          <w:sz w:val="21"/>
        </w:rPr>
        <w:t>报到时对社区矫正对象表现出的生理、心理、社会等问题和需求进行预估；</w:t>
      </w:r>
    </w:p>
    <w:p>
      <w:pPr>
        <w:ind w:firstLine="420"/>
        <w:jc w:val="both"/>
      </w:pPr>
      <w:r>
        <w:rPr>
          <w:sz w:val="21"/>
        </w:rPr>
        <w:t>(2)</w:t>
      </w:r>
      <w:r>
        <w:rPr>
          <w:sz w:val="21"/>
        </w:rPr>
        <w:t>对社区矫正对象进行风险评估，包括评估社区矫正对象潜在危机、再犯罪风险等；</w:t>
      </w:r>
    </w:p>
    <w:p>
      <w:pPr>
        <w:ind w:firstLine="420"/>
        <w:jc w:val="both"/>
      </w:pPr>
      <w:r>
        <w:rPr>
          <w:sz w:val="21"/>
        </w:rPr>
        <w:t>(3)</w:t>
      </w:r>
      <w:r>
        <w:rPr>
          <w:sz w:val="21"/>
        </w:rPr>
        <w:t>对社区矫正对象的心理社会发展需求进行评估；</w:t>
      </w:r>
    </w:p>
    <w:p>
      <w:pPr>
        <w:ind w:firstLine="420"/>
        <w:jc w:val="both"/>
      </w:pPr>
      <w:r>
        <w:rPr>
          <w:sz w:val="21"/>
        </w:rPr>
        <w:t>(4)</w:t>
      </w:r>
      <w:r>
        <w:rPr>
          <w:sz w:val="21"/>
        </w:rPr>
        <w:t>对社区矫正对象的社会支持系统进行评估，包括评估社会、家庭、朋辈等各种正面和负面因素；</w:t>
      </w:r>
    </w:p>
    <w:p>
      <w:pPr>
        <w:ind w:firstLine="420"/>
        <w:jc w:val="both"/>
      </w:pPr>
      <w:r>
        <w:rPr>
          <w:sz w:val="21"/>
        </w:rPr>
        <w:t>(5)</w:t>
      </w:r>
      <w:r>
        <w:rPr>
          <w:sz w:val="21"/>
        </w:rPr>
        <w:t>以上评估内容应根据需要记录、归档。</w:t>
      </w:r>
    </w:p>
    <w:p>
      <w:pPr>
        <w:ind w:firstLine="420"/>
        <w:jc w:val="both"/>
      </w:pPr>
      <w:r>
        <w:rPr>
          <w:sz w:val="21"/>
        </w:rPr>
        <w:t>6.3</w:t>
      </w:r>
      <w:r>
        <w:rPr>
          <w:sz w:val="21"/>
        </w:rPr>
        <w:t>实地调查走访</w:t>
      </w:r>
    </w:p>
    <w:p>
      <w:pPr>
        <w:ind w:firstLine="420"/>
        <w:jc w:val="both"/>
      </w:pPr>
      <w:r>
        <w:rPr>
          <w:sz w:val="21"/>
        </w:rPr>
        <w:t>(1)</w:t>
      </w:r>
      <w:r>
        <w:rPr>
          <w:sz w:val="21"/>
        </w:rPr>
        <w:t>根据社区矫正机构的委托</w:t>
      </w:r>
      <w:r>
        <w:rPr>
          <w:sz w:val="21"/>
        </w:rPr>
        <w:t>,对社区矫正对象进行实地调查走访;</w:t>
      </w:r>
    </w:p>
    <w:p>
      <w:pPr>
        <w:ind w:firstLine="420"/>
        <w:jc w:val="both"/>
      </w:pPr>
      <w:r>
        <w:rPr>
          <w:sz w:val="21"/>
        </w:rPr>
        <w:t>(2)</w:t>
      </w:r>
      <w:r>
        <w:rPr>
          <w:sz w:val="21"/>
        </w:rPr>
        <w:t>掌握社区矫正对象的实际情况和近期动态</w:t>
      </w:r>
      <w:r>
        <w:rPr>
          <w:sz w:val="21"/>
        </w:rPr>
        <w:t>,并及时反馈社区矫正机构。</w:t>
      </w:r>
    </w:p>
    <w:p>
      <w:pPr>
        <w:ind w:firstLine="420"/>
        <w:jc w:val="both"/>
      </w:pPr>
      <w:r>
        <w:rPr>
          <w:sz w:val="21"/>
        </w:rPr>
        <w:t>6.4</w:t>
      </w:r>
      <w:r>
        <w:rPr>
          <w:sz w:val="21"/>
        </w:rPr>
        <w:t>协助社区矫正管理事务</w:t>
      </w:r>
    </w:p>
    <w:p>
      <w:pPr>
        <w:ind w:firstLine="420"/>
        <w:jc w:val="both"/>
      </w:pPr>
      <w:r>
        <w:rPr>
          <w:sz w:val="21"/>
        </w:rPr>
        <w:t>社会工作者根据市司法局、镇（街）司法所要求，协助开展有关社区矫正管理事务，工作包括但不限于以下内容：</w:t>
      </w:r>
    </w:p>
    <w:p>
      <w:pPr>
        <w:ind w:firstLine="420"/>
        <w:jc w:val="both"/>
      </w:pPr>
      <w:r>
        <w:rPr>
          <w:sz w:val="21"/>
        </w:rPr>
        <w:t>(1)</w:t>
      </w:r>
      <w:r>
        <w:rPr>
          <w:sz w:val="21"/>
        </w:rPr>
        <w:t>进行社区矫正对象动态管控、动态跟踪；</w:t>
      </w:r>
    </w:p>
    <w:p>
      <w:pPr>
        <w:ind w:firstLine="420"/>
        <w:jc w:val="both"/>
      </w:pPr>
      <w:r>
        <w:rPr>
          <w:sz w:val="21"/>
        </w:rPr>
        <w:t>(2)</w:t>
      </w:r>
      <w:r>
        <w:rPr>
          <w:sz w:val="21"/>
        </w:rPr>
        <w:t>对社区矫正对象登记、信息采集；</w:t>
      </w:r>
    </w:p>
    <w:p>
      <w:pPr>
        <w:ind w:firstLine="420"/>
        <w:jc w:val="both"/>
      </w:pPr>
      <w:r>
        <w:rPr>
          <w:sz w:val="21"/>
        </w:rPr>
        <w:t>(3)</w:t>
      </w:r>
      <w:r>
        <w:rPr>
          <w:sz w:val="21"/>
        </w:rPr>
        <w:t>督促、帮助社区矫正对象履行协议；</w:t>
      </w:r>
    </w:p>
    <w:p>
      <w:pPr>
        <w:ind w:firstLine="420"/>
        <w:jc w:val="both"/>
      </w:pPr>
      <w:r>
        <w:rPr>
          <w:sz w:val="21"/>
        </w:rPr>
        <w:t>(4)</w:t>
      </w:r>
      <w:r>
        <w:rPr>
          <w:sz w:val="21"/>
        </w:rPr>
        <w:t>收集及报告拒绝报到及严重违反社区矫正协议的社区矫正对象资料；</w:t>
      </w:r>
    </w:p>
    <w:p>
      <w:pPr>
        <w:ind w:firstLine="420"/>
        <w:jc w:val="both"/>
      </w:pPr>
      <w:r>
        <w:rPr>
          <w:sz w:val="21"/>
        </w:rPr>
        <w:t>(5)</w:t>
      </w:r>
      <w:r>
        <w:rPr>
          <w:sz w:val="21"/>
        </w:rPr>
        <w:t>根据风险等级评估对社区矫正对象开展支持性谈话服务。</w:t>
      </w:r>
    </w:p>
    <w:p>
      <w:pPr>
        <w:ind w:firstLine="420"/>
        <w:jc w:val="both"/>
      </w:pPr>
      <w:r>
        <w:rPr>
          <w:sz w:val="21"/>
        </w:rPr>
        <w:t>6.5</w:t>
      </w:r>
      <w:r>
        <w:rPr>
          <w:sz w:val="21"/>
        </w:rPr>
        <w:t>法治道德教育</w:t>
      </w:r>
    </w:p>
    <w:p>
      <w:pPr>
        <w:ind w:firstLine="420"/>
        <w:jc w:val="both"/>
      </w:pPr>
      <w:r>
        <w:rPr>
          <w:sz w:val="21"/>
        </w:rPr>
        <w:t>(1)</w:t>
      </w:r>
      <w:r>
        <w:rPr>
          <w:sz w:val="21"/>
        </w:rPr>
        <w:t>组织社区矫正对象进行法治、道德等主题的教育</w:t>
      </w:r>
      <w:r>
        <w:rPr>
          <w:sz w:val="21"/>
        </w:rPr>
        <w:t>,及时掌握社区矫正对象的学习成果记录与效果反馈；</w:t>
      </w:r>
    </w:p>
    <w:p>
      <w:pPr>
        <w:ind w:firstLine="420"/>
        <w:jc w:val="both"/>
      </w:pPr>
      <w:r>
        <w:rPr>
          <w:sz w:val="21"/>
        </w:rPr>
        <w:t>(2)</w:t>
      </w:r>
      <w:r>
        <w:rPr>
          <w:sz w:val="21"/>
        </w:rPr>
        <w:t>依托</w:t>
      </w:r>
      <w:r>
        <w:rPr>
          <w:sz w:val="21"/>
        </w:rPr>
        <w:t>省社区矫正远程教育平台</w:t>
      </w:r>
      <w:r>
        <w:rPr>
          <w:sz w:val="21"/>
        </w:rPr>
        <w:t>开展社区矫正对象线上教育，有针对性的推送形势政策、法治道德、心理健康、技能培训等教育学习内容。</w:t>
      </w:r>
    </w:p>
    <w:p>
      <w:pPr>
        <w:ind w:firstLine="420"/>
        <w:jc w:val="both"/>
      </w:pPr>
      <w:r>
        <w:rPr>
          <w:sz w:val="21"/>
        </w:rPr>
        <w:t>(3)</w:t>
      </w:r>
      <w:r>
        <w:rPr>
          <w:sz w:val="21"/>
        </w:rPr>
        <w:t>根据社区矫正对象的综合评估结果、个体特征、日常表现等设置个性化课程。</w:t>
      </w:r>
    </w:p>
    <w:p>
      <w:pPr>
        <w:ind w:firstLine="420"/>
        <w:jc w:val="both"/>
      </w:pPr>
      <w:r>
        <w:rPr>
          <w:sz w:val="21"/>
        </w:rPr>
        <w:t>6.6</w:t>
      </w:r>
      <w:r>
        <w:rPr>
          <w:sz w:val="21"/>
        </w:rPr>
        <w:t>组织公益活动</w:t>
      </w:r>
    </w:p>
    <w:p>
      <w:pPr>
        <w:ind w:firstLine="420"/>
        <w:jc w:val="both"/>
      </w:pPr>
      <w:r>
        <w:rPr>
          <w:sz w:val="21"/>
        </w:rPr>
        <w:t>遵循个别化矫正原则</w:t>
      </w:r>
      <w:r>
        <w:rPr>
          <w:sz w:val="21"/>
        </w:rPr>
        <w:t>,根据综合评估情况,组织有劳动能力的社区矫正对象参加公益活动，向社会、社区及特定机构和个人提供公益性服务,修复社会关系,培养社会责任感。</w:t>
      </w:r>
    </w:p>
    <w:p>
      <w:pPr>
        <w:ind w:firstLine="420"/>
        <w:jc w:val="both"/>
      </w:pPr>
      <w:r>
        <w:rPr>
          <w:sz w:val="21"/>
        </w:rPr>
        <w:t>6.7</w:t>
      </w:r>
      <w:r>
        <w:rPr>
          <w:sz w:val="21"/>
        </w:rPr>
        <w:t>宣传教育工作</w:t>
      </w:r>
    </w:p>
    <w:p>
      <w:pPr>
        <w:ind w:firstLine="420"/>
        <w:jc w:val="both"/>
      </w:pPr>
      <w:r>
        <w:rPr>
          <w:sz w:val="21"/>
        </w:rPr>
        <w:t>社会工作者根据社区矫正对象、其家庭、社区、社会需求，开展社区矫正宣传和教育工作，服务包括但不限于以下内容</w:t>
      </w:r>
      <w:r>
        <w:rPr>
          <w:sz w:val="21"/>
        </w:rPr>
        <w:t>:</w:t>
      </w:r>
    </w:p>
    <w:p>
      <w:pPr>
        <w:ind w:firstLine="420"/>
        <w:jc w:val="both"/>
      </w:pPr>
      <w:r>
        <w:rPr>
          <w:sz w:val="21"/>
        </w:rPr>
        <w:t>(1)</w:t>
      </w:r>
      <w:r>
        <w:rPr>
          <w:sz w:val="21"/>
        </w:rPr>
        <w:t>应对社区矫正对象及其家属开展社区矫正法律法规、社会工作服务等信息和资源的宣传工作；</w:t>
      </w:r>
    </w:p>
    <w:p>
      <w:pPr>
        <w:ind w:firstLine="420"/>
        <w:jc w:val="both"/>
      </w:pPr>
      <w:r>
        <w:rPr>
          <w:sz w:val="21"/>
        </w:rPr>
        <w:t>(2)</w:t>
      </w:r>
      <w:r>
        <w:rPr>
          <w:sz w:val="21"/>
        </w:rPr>
        <w:t>应开展调适社区矫正对象与社区及社会关系的宣传教育服务，构建社会支持网络，营造有利于社区矫正的社会环境；</w:t>
      </w:r>
    </w:p>
    <w:p>
      <w:pPr>
        <w:ind w:firstLine="420"/>
        <w:jc w:val="both"/>
      </w:pPr>
      <w:r>
        <w:rPr>
          <w:sz w:val="21"/>
        </w:rPr>
        <w:t>(3)</w:t>
      </w:r>
      <w:r>
        <w:rPr>
          <w:sz w:val="21"/>
        </w:rPr>
        <w:t>应开展社区矫正及法律法规、政策等相关知识的宣传，增强全民法律意识；</w:t>
      </w:r>
    </w:p>
    <w:p>
      <w:pPr>
        <w:ind w:firstLine="420"/>
        <w:jc w:val="both"/>
      </w:pPr>
      <w:r>
        <w:rPr>
          <w:sz w:val="21"/>
        </w:rPr>
        <w:t>(4)</w:t>
      </w:r>
      <w:r>
        <w:rPr>
          <w:sz w:val="21"/>
        </w:rPr>
        <w:t>应组织社区矫正对象参与社区志愿活动，鼓励其参与社区协商，为社区发展出谋划策；动员社区矫正服务对象参加社区组织的各类公益倡导活动，促进社区融入。</w:t>
      </w:r>
    </w:p>
    <w:p>
      <w:pPr>
        <w:ind w:firstLine="420"/>
        <w:jc w:val="both"/>
      </w:pPr>
    </w:p>
    <w:p>
      <w:pPr>
        <w:jc w:val="both"/>
      </w:pPr>
      <w:r>
        <w:rPr>
          <w:b/>
          <w:sz w:val="21"/>
        </w:rPr>
        <w:t>7.</w:t>
      </w:r>
      <w:r>
        <w:rPr>
          <w:b/>
          <w:sz w:val="21"/>
        </w:rPr>
        <w:t>拓展服务</w:t>
      </w:r>
    </w:p>
    <w:p>
      <w:pPr>
        <w:ind w:firstLine="420"/>
        <w:jc w:val="both"/>
      </w:pPr>
      <w:r>
        <w:rPr>
          <w:sz w:val="21"/>
        </w:rPr>
        <w:t>7.1</w:t>
      </w:r>
      <w:r>
        <w:rPr>
          <w:sz w:val="21"/>
        </w:rPr>
        <w:t>心理辅导</w:t>
      </w:r>
    </w:p>
    <w:p>
      <w:pPr>
        <w:ind w:firstLine="420"/>
        <w:jc w:val="both"/>
      </w:pPr>
      <w:r>
        <w:rPr>
          <w:sz w:val="21"/>
        </w:rPr>
        <w:t>(1)</w:t>
      </w:r>
      <w:r>
        <w:rPr>
          <w:sz w:val="21"/>
        </w:rPr>
        <w:t>了解社区矫正对象的心理状况，综合运用心理健康教育、心理测量与评估、心理咨询与疏导、心理危机干预及心理疾病转介等方法提供服务；</w:t>
      </w:r>
    </w:p>
    <w:p>
      <w:pPr>
        <w:ind w:firstLine="420"/>
        <w:jc w:val="both"/>
      </w:pPr>
      <w:r>
        <w:rPr>
          <w:sz w:val="21"/>
        </w:rPr>
        <w:t>(2)</w:t>
      </w:r>
      <w:r>
        <w:rPr>
          <w:sz w:val="21"/>
        </w:rPr>
        <w:t>可借鉴认知治疗、行为治疗、家庭治疗等专业工作技术，为有需要的社区矫正对象开展社会心理行为干预</w:t>
      </w:r>
      <w:r>
        <w:rPr>
          <w:sz w:val="21"/>
        </w:rPr>
        <w:t>;</w:t>
      </w:r>
    </w:p>
    <w:p>
      <w:pPr>
        <w:ind w:firstLine="420"/>
        <w:jc w:val="both"/>
      </w:pPr>
      <w:r>
        <w:rPr>
          <w:sz w:val="21"/>
        </w:rPr>
        <w:t>(3)</w:t>
      </w:r>
      <w:r>
        <w:rPr>
          <w:sz w:val="21"/>
        </w:rPr>
        <w:t>应对有需要的社区矫正对象提供转介；</w:t>
      </w:r>
    </w:p>
    <w:p>
      <w:pPr>
        <w:ind w:firstLine="420"/>
        <w:jc w:val="both"/>
      </w:pPr>
      <w:r>
        <w:rPr>
          <w:sz w:val="21"/>
        </w:rPr>
        <w:t>(4)</w:t>
      </w:r>
      <w:r>
        <w:rPr>
          <w:sz w:val="21"/>
        </w:rPr>
        <w:t>建立社区矫正服务对象心理评估档案</w:t>
      </w:r>
      <w:r>
        <w:rPr>
          <w:sz w:val="21"/>
        </w:rPr>
        <w:t>,实行跟踪服务,帮助其消除心理障碍,减少负面情绪,缓解心理压力,增强适应社会能力。</w:t>
      </w:r>
    </w:p>
    <w:p>
      <w:pPr>
        <w:ind w:firstLine="420"/>
        <w:jc w:val="both"/>
      </w:pPr>
      <w:r>
        <w:rPr>
          <w:sz w:val="21"/>
        </w:rPr>
        <w:t>7.2</w:t>
      </w:r>
      <w:r>
        <w:rPr>
          <w:sz w:val="21"/>
        </w:rPr>
        <w:t>就业帮扶</w:t>
      </w:r>
    </w:p>
    <w:p>
      <w:pPr>
        <w:ind w:firstLine="420"/>
        <w:jc w:val="both"/>
      </w:pPr>
      <w:r>
        <w:rPr>
          <w:sz w:val="21"/>
        </w:rPr>
        <w:t>(1)</w:t>
      </w:r>
      <w:r>
        <w:rPr>
          <w:sz w:val="21"/>
        </w:rPr>
        <w:t>应依据社区矫正对象需求</w:t>
      </w:r>
      <w:r>
        <w:rPr>
          <w:sz w:val="21"/>
        </w:rPr>
        <w:t>,评估社区矫正对象的就业意愿、就业能力、就业资源,协助制定就业技能培训计划,开展就业指导；</w:t>
      </w:r>
    </w:p>
    <w:p>
      <w:pPr>
        <w:ind w:firstLine="420"/>
        <w:jc w:val="both"/>
      </w:pPr>
      <w:r>
        <w:rPr>
          <w:sz w:val="21"/>
        </w:rPr>
        <w:t>(2)</w:t>
      </w:r>
      <w:r>
        <w:rPr>
          <w:sz w:val="21"/>
        </w:rPr>
        <w:t>应为有需要的社区矫正对象链接就学就业资源和其他政府资源与社会资源，提升其发展能力。</w:t>
      </w:r>
    </w:p>
    <w:p>
      <w:pPr>
        <w:ind w:firstLine="420"/>
        <w:jc w:val="both"/>
      </w:pPr>
      <w:r>
        <w:rPr>
          <w:sz w:val="21"/>
        </w:rPr>
        <w:t>7.3</w:t>
      </w:r>
      <w:r>
        <w:rPr>
          <w:sz w:val="21"/>
        </w:rPr>
        <w:t>家庭支持</w:t>
      </w:r>
    </w:p>
    <w:p>
      <w:pPr>
        <w:ind w:firstLine="420"/>
        <w:jc w:val="both"/>
      </w:pPr>
      <w:r>
        <w:rPr>
          <w:sz w:val="21"/>
        </w:rPr>
        <w:t>(1)</w:t>
      </w:r>
      <w:r>
        <w:rPr>
          <w:sz w:val="21"/>
        </w:rPr>
        <w:t>应依据社区矫正对象需求</w:t>
      </w:r>
      <w:r>
        <w:rPr>
          <w:sz w:val="21"/>
        </w:rPr>
        <w:t>,了解社区矫正对象家庭基本情况,评估其家庭问题及需求；</w:t>
      </w:r>
    </w:p>
    <w:p>
      <w:pPr>
        <w:ind w:firstLine="420"/>
        <w:jc w:val="both"/>
      </w:pPr>
      <w:r>
        <w:rPr>
          <w:sz w:val="21"/>
        </w:rPr>
        <w:t>(2)</w:t>
      </w:r>
      <w:r>
        <w:rPr>
          <w:sz w:val="21"/>
        </w:rPr>
        <w:t>帮助社区矫正对象改善家庭关系</w:t>
      </w:r>
      <w:r>
        <w:rPr>
          <w:sz w:val="21"/>
        </w:rPr>
        <w:t>,缓解家庭矛盾,解决家庭问题,促进家庭成员支持并参与社区矫正对象的监管、教育、帮扶。</w:t>
      </w:r>
    </w:p>
    <w:p>
      <w:pPr>
        <w:jc w:val="both"/>
      </w:pPr>
    </w:p>
    <w:p>
      <w:pPr>
        <w:jc w:val="both"/>
      </w:pPr>
      <w:r>
        <w:rPr>
          <w:b/>
          <w:sz w:val="21"/>
        </w:rPr>
        <w:t>8.</w:t>
      </w:r>
      <w:r>
        <w:rPr>
          <w:b/>
          <w:sz w:val="21"/>
        </w:rPr>
        <w:t>特色（创新）服务</w:t>
      </w:r>
    </w:p>
    <w:p>
      <w:pPr>
        <w:ind w:firstLine="420"/>
        <w:jc w:val="both"/>
      </w:pPr>
      <w:r>
        <w:rPr>
          <w:sz w:val="21"/>
        </w:rPr>
        <w:t>8.1</w:t>
      </w:r>
      <w:r>
        <w:rPr>
          <w:sz w:val="21"/>
        </w:rPr>
        <w:t>未成年社区矫正对象教育帮扶</w:t>
      </w:r>
    </w:p>
    <w:p>
      <w:pPr>
        <w:ind w:firstLine="420"/>
        <w:jc w:val="both"/>
      </w:pPr>
      <w:r>
        <w:rPr>
          <w:sz w:val="21"/>
        </w:rPr>
        <w:t>(1)</w:t>
      </w:r>
      <w:r>
        <w:rPr>
          <w:sz w:val="21"/>
        </w:rPr>
        <w:t>应遵循教育、感化、挽救的方针</w:t>
      </w:r>
      <w:r>
        <w:rPr>
          <w:sz w:val="21"/>
        </w:rPr>
        <w:t>,坚持教育为主、惩罚为辅的工作理念；</w:t>
      </w:r>
    </w:p>
    <w:p>
      <w:pPr>
        <w:ind w:firstLine="420"/>
        <w:jc w:val="both"/>
      </w:pPr>
      <w:r>
        <w:rPr>
          <w:sz w:val="21"/>
        </w:rPr>
        <w:t>(2)</w:t>
      </w:r>
      <w:r>
        <w:rPr>
          <w:sz w:val="21"/>
        </w:rPr>
        <w:t>应严格按照与成年社区矫正对象分别进行的方式</w:t>
      </w:r>
      <w:r>
        <w:rPr>
          <w:sz w:val="21"/>
        </w:rPr>
        <w:t>,开展心理情绪疏导、行为偏差纠正；</w:t>
      </w:r>
    </w:p>
    <w:p>
      <w:pPr>
        <w:ind w:firstLine="420"/>
        <w:jc w:val="both"/>
      </w:pPr>
      <w:r>
        <w:rPr>
          <w:sz w:val="21"/>
        </w:rPr>
        <w:t>(3)</w:t>
      </w:r>
      <w:r>
        <w:rPr>
          <w:sz w:val="21"/>
        </w:rPr>
        <w:t>应重视未成年社区矫正对象家庭社会关系修复</w:t>
      </w:r>
      <w:r>
        <w:rPr>
          <w:sz w:val="21"/>
        </w:rPr>
        <w:t>,社会功能发展,引导就学就业,帮助未成年社区矫正对象顺利回归社会。</w:t>
      </w:r>
    </w:p>
    <w:p>
      <w:pPr>
        <w:ind w:firstLine="420"/>
        <w:jc w:val="both"/>
      </w:pPr>
      <w:r>
        <w:rPr>
          <w:sz w:val="21"/>
        </w:rPr>
        <w:t>8.2</w:t>
      </w:r>
      <w:r>
        <w:rPr>
          <w:sz w:val="21"/>
        </w:rPr>
        <w:t>政策倡导</w:t>
      </w:r>
    </w:p>
    <w:p>
      <w:pPr>
        <w:ind w:firstLine="420"/>
        <w:jc w:val="both"/>
      </w:pPr>
      <w:r>
        <w:rPr>
          <w:sz w:val="21"/>
        </w:rPr>
        <w:t>社会工作者应研究、分析与社区矫正相关的法律、法规及政策的不完善内容，向有关职能部门提出完善建议。</w:t>
      </w:r>
    </w:p>
    <w:p>
      <w:pPr>
        <w:ind w:firstLine="420"/>
        <w:jc w:val="both"/>
      </w:pPr>
      <w:r>
        <w:rPr>
          <w:sz w:val="21"/>
        </w:rPr>
        <w:t>8.3</w:t>
      </w:r>
      <w:r>
        <w:rPr>
          <w:sz w:val="21"/>
        </w:rPr>
        <w:t>创新服务</w:t>
      </w:r>
    </w:p>
    <w:p>
      <w:pPr>
        <w:ind w:firstLine="420"/>
        <w:jc w:val="both"/>
      </w:pPr>
      <w:r>
        <w:rPr>
          <w:sz w:val="21"/>
        </w:rPr>
        <w:t>市司法局、镇（街）司法所根据实际情况以及社区矫正对象需求和特征，探索具有辖区特色的社区矫正社会工作服务。</w:t>
      </w:r>
    </w:p>
    <w:p>
      <w:pPr>
        <w:ind w:firstLine="420"/>
        <w:jc w:val="both"/>
      </w:pPr>
    </w:p>
    <w:p>
      <w:pPr>
        <w:jc w:val="both"/>
      </w:pPr>
    </w:p>
    <w:p>
      <w:pPr>
        <w:jc w:val="both"/>
      </w:pPr>
      <w:r>
        <w:rPr>
          <w:b/>
          <w:sz w:val="21"/>
        </w:rPr>
        <w:t>9.</w:t>
      </w:r>
      <w:r>
        <w:rPr>
          <w:b/>
          <w:sz w:val="21"/>
        </w:rPr>
        <w:t>其他服务要求</w:t>
      </w:r>
    </w:p>
    <w:p>
      <w:pPr>
        <w:jc w:val="left"/>
      </w:pPr>
    </w:p>
    <w:p>
      <w:pPr>
        <w:jc w:val="left"/>
      </w:pPr>
    </w:p>
    <w:p>
      <w:pPr>
        <w:ind w:firstLine="420"/>
        <w:jc w:val="both"/>
      </w:pPr>
      <w:r>
        <w:rPr>
          <w:sz w:val="21"/>
        </w:rPr>
        <w:t>9.1全力打造我镇社矫安帮特色品牌服务。要求社矫安帮社工服务提供方在招投标过程中结合我镇水乡特色文化和人文乡情，提供可行方案，推动我镇打造社矫安帮特色品牌服务，同心协力在社矫安帮工作出亮点、树品牌方面下功夫。</w:t>
      </w:r>
    </w:p>
    <w:p>
      <w:pPr>
        <w:ind w:firstLine="420"/>
        <w:jc w:val="both"/>
      </w:pPr>
      <w:r>
        <w:rPr>
          <w:sz w:val="21"/>
        </w:rPr>
        <w:t>9.2积极推进社矫安帮心理矫治服务模式。结合当前各类矛盾频发、人群心理抗压能力普遍不足的社会形势，要求社矫安帮社工服务提供方每年提供不少于4次面向社矫安帮对象的心理服务内容，积极探索和引导社会力量参与社矫安帮对象的心理矫治工作。</w:t>
      </w:r>
    </w:p>
    <w:p>
      <w:pPr>
        <w:ind w:firstLine="420"/>
        <w:jc w:val="both"/>
      </w:pPr>
      <w:r>
        <w:rPr>
          <w:sz w:val="21"/>
        </w:rPr>
        <w:t>9.3中标人必须在本项目活动简讯报送、每年提交半年、全年工作总结和争取相关工作经验刊印上报省、市相关媒体工作。</w:t>
      </w:r>
    </w:p>
    <w:p>
      <w:pPr>
        <w:ind w:firstLine="420"/>
        <w:jc w:val="both"/>
      </w:pPr>
      <w:r>
        <w:rPr>
          <w:sz w:val="21"/>
        </w:rPr>
        <w:t>9.4服务管理制度：</w:t>
      </w:r>
    </w:p>
    <w:p>
      <w:pPr>
        <w:ind w:firstLine="420"/>
        <w:jc w:val="both"/>
      </w:pPr>
      <w:r>
        <w:rPr>
          <w:sz w:val="21"/>
        </w:rPr>
        <w:t>(1)须制定个案、小组和活动服务流程指引，指导工作人员依据规范的工作程序向服务对象提供专业化服务。</w:t>
      </w:r>
    </w:p>
    <w:p>
      <w:pPr>
        <w:ind w:firstLine="420"/>
        <w:jc w:val="both"/>
      </w:pPr>
      <w:r>
        <w:rPr>
          <w:sz w:val="21"/>
        </w:rPr>
        <w:t>(2)每一次服务都须做好相应的服务记录，并遵循真实性、可追溯性的原则。</w:t>
      </w:r>
    </w:p>
    <w:p>
      <w:pPr>
        <w:ind w:firstLine="420"/>
        <w:jc w:val="both"/>
      </w:pPr>
      <w:r>
        <w:rPr>
          <w:sz w:val="21"/>
        </w:rPr>
        <w:t>(3)须建立齐全的服务记录表模板体系。</w:t>
      </w:r>
    </w:p>
    <w:p>
      <w:pPr>
        <w:ind w:firstLine="420"/>
        <w:jc w:val="both"/>
      </w:pPr>
      <w:r>
        <w:rPr>
          <w:sz w:val="21"/>
        </w:rPr>
        <w:t>(4)建立档案管理制度，并遵循保密性和科学统计的原则。</w:t>
      </w:r>
    </w:p>
    <w:p>
      <w:pPr>
        <w:ind w:firstLine="420"/>
        <w:jc w:val="both"/>
      </w:pPr>
      <w:r>
        <w:rPr>
          <w:sz w:val="21"/>
        </w:rPr>
        <w:t>(5)定期参加由采购人组织的联席工作会议，研讨相关工作开展的情况。</w:t>
      </w:r>
    </w:p>
    <w:p>
      <w:pPr>
        <w:ind w:firstLine="420"/>
        <w:jc w:val="both"/>
      </w:pPr>
      <w:r>
        <w:rPr>
          <w:sz w:val="21"/>
        </w:rPr>
        <w:t>(6)定期向采购人提供服务对象相关资料，及整个项目开展过程及成效等的总结性资料。</w:t>
      </w:r>
    </w:p>
    <w:p>
      <w:pPr>
        <w:ind w:firstLine="420"/>
        <w:jc w:val="both"/>
      </w:pPr>
      <w:r>
        <w:rPr>
          <w:sz w:val="21"/>
        </w:rPr>
        <w:t>(7)具有切合实际的项目服务方案。按照中山市港口镇服务范围和服务对象实际情况，制定以需求为导向的完善、系统、合理的年度项目计划书。</w:t>
      </w:r>
    </w:p>
    <w:p>
      <w:pPr>
        <w:ind w:firstLine="420"/>
        <w:jc w:val="both"/>
      </w:pPr>
      <w:r>
        <w:rPr>
          <w:sz w:val="21"/>
        </w:rPr>
        <w:t>(8)具有完善的项目管理制度和规范。制定并提供完善的项目管理有关制度，包括人员管理制度、社工培养计划、财务管理制度、服务流程、活动评估标准等相关资料。</w:t>
      </w:r>
    </w:p>
    <w:p>
      <w:pPr>
        <w:ind w:firstLine="420"/>
        <w:jc w:val="both"/>
      </w:pPr>
      <w:r>
        <w:rPr>
          <w:sz w:val="21"/>
        </w:rPr>
        <w:t>(9)在本项目延续期间受采购方委托开展工作取得的工作成果产权属业主方所有，应于项目结束前五个工作日内需移交采购方。同时，中标人必须对工作中接触到的服务对象个人隐私等涉密资料承担保密责任。</w:t>
      </w:r>
    </w:p>
    <w:p>
      <w:pPr>
        <w:ind w:firstLine="420"/>
        <w:jc w:val="both"/>
      </w:pPr>
    </w:p>
    <w:p>
      <w:pPr>
        <w:ind w:firstLine="420"/>
        <w:jc w:val="both"/>
      </w:pPr>
    </w:p>
    <w:p>
      <w:pPr>
        <w:jc w:val="both"/>
      </w:pPr>
    </w:p>
    <w:p>
      <w:pPr>
        <w:jc w:val="both"/>
      </w:pPr>
      <w:r>
        <w:rPr>
          <w:b/>
          <w:sz w:val="21"/>
        </w:rPr>
        <w:t>10.</w:t>
      </w:r>
      <w:r>
        <w:rPr>
          <w:b/>
          <w:sz w:val="21"/>
        </w:rPr>
        <w:t>每年的</w:t>
      </w:r>
      <w:r>
        <w:rPr>
          <w:b/>
          <w:sz w:val="21"/>
        </w:rPr>
        <w:t>服务</w:t>
      </w:r>
      <w:r>
        <w:rPr>
          <w:b/>
          <w:sz w:val="21"/>
        </w:rPr>
        <w:t>量化指标</w:t>
      </w:r>
    </w:p>
    <w:tbl>
      <w:tblPr>
        <w:tblW w:w="0" w:type="auto"/>
        <w:tblBorders>
          <w:top w:val="none" w:color="000000" w:sz="4"/>
          <w:left w:val="none" w:color="000000" w:sz="4"/>
          <w:bottom w:val="none" w:color="000000" w:sz="4"/>
          <w:right w:val="none" w:color="000000" w:sz="4"/>
          <w:insideH w:val="none"/>
          <w:insideV w:val="none"/>
        </w:tblBorders>
      </w:tblPr>
      <w:tblGrid>
        <w:gridCol w:w="1201"/>
        <w:gridCol w:w="3551"/>
        <w:gridCol w:w="1835"/>
        <w:gridCol w:w="1716"/>
      </w:tblGrid>
      <w:tr>
        <w:tc>
          <w:tcPr>
            <w:tcW w:type="dxa" w:w="1201"/>
            <w:tcBorders>
              <w:top w:val="double" w:color="000000" w:sz="4"/>
              <w:left w:val="double" w:color="000000" w:sz="4"/>
              <w:bottom w:val="single" w:color="000000" w:sz="4"/>
              <w:right w:val="single" w:color="000000" w:sz="4"/>
            </w:tcBorders>
            <w:vAlign w:val="top"/>
          </w:tcPr>
          <w:p>
            <w:pPr>
              <w:jc w:val="center"/>
            </w:pPr>
            <w:r>
              <w:rPr>
                <w:b/>
                <w:sz w:val="21"/>
              </w:rPr>
              <w:t>指标编号</w:t>
            </w:r>
          </w:p>
        </w:tc>
        <w:tc>
          <w:tcPr>
            <w:tcW w:type="dxa" w:w="3551"/>
            <w:tcBorders>
              <w:top w:val="double" w:color="000000" w:sz="4"/>
              <w:left w:val="none" w:color="000000" w:sz="4"/>
              <w:bottom w:val="single" w:color="000000" w:sz="4"/>
              <w:right w:val="single" w:color="000000" w:sz="4"/>
            </w:tcBorders>
            <w:vAlign w:val="top"/>
          </w:tcPr>
          <w:p>
            <w:pPr>
              <w:jc w:val="center"/>
            </w:pPr>
            <w:r>
              <w:rPr>
                <w:b/>
                <w:sz w:val="21"/>
              </w:rPr>
              <w:t>指标内容</w:t>
            </w:r>
          </w:p>
        </w:tc>
        <w:tc>
          <w:tcPr>
            <w:tcW w:type="dxa" w:w="1835"/>
            <w:tcBorders>
              <w:top w:val="double" w:color="000000" w:sz="4"/>
              <w:left w:val="none" w:color="000000" w:sz="4"/>
              <w:bottom w:val="single" w:color="000000" w:sz="4"/>
              <w:right w:val="single" w:color="000000" w:sz="4"/>
            </w:tcBorders>
            <w:vAlign w:val="top"/>
          </w:tcPr>
          <w:p>
            <w:pPr>
              <w:jc w:val="center"/>
            </w:pPr>
            <w:r>
              <w:rPr>
                <w:b/>
                <w:sz w:val="21"/>
              </w:rPr>
              <w:t>指标数量</w:t>
            </w:r>
          </w:p>
        </w:tc>
        <w:tc>
          <w:tcPr>
            <w:tcW w:type="dxa" w:w="1716"/>
            <w:tcBorders>
              <w:top w:val="double" w:color="000000" w:sz="4"/>
              <w:left w:val="none" w:color="000000" w:sz="4"/>
              <w:bottom w:val="single" w:color="000000" w:sz="4"/>
              <w:right w:val="double" w:color="000000" w:sz="4"/>
            </w:tcBorders>
            <w:vAlign w:val="top"/>
          </w:tcPr>
          <w:p>
            <w:pPr>
              <w:jc w:val="center"/>
            </w:pPr>
            <w:r>
              <w:rPr>
                <w:b/>
                <w:sz w:val="21"/>
              </w:rPr>
              <w:t>指标备注</w:t>
            </w:r>
          </w:p>
        </w:tc>
      </w:tr>
      <w:tr>
        <w:tc>
          <w:tcPr>
            <w:tcW w:type="dxa" w:w="8303"/>
            <w:gridSpan w:val="4"/>
            <w:tcBorders>
              <w:top w:val="none" w:color="000000" w:sz="4"/>
              <w:left w:val="double" w:color="000000" w:sz="4"/>
              <w:bottom w:val="single" w:color="000000" w:sz="4"/>
              <w:right w:val="double" w:color="000000" w:sz="4"/>
            </w:tcBorders>
            <w:vAlign w:val="top"/>
          </w:tcPr>
          <w:p>
            <w:pPr>
              <w:jc w:val="center"/>
            </w:pPr>
            <w:r>
              <w:rPr>
                <w:b/>
                <w:sz w:val="21"/>
              </w:rPr>
              <w:t>社区矫正服务</w:t>
            </w: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w:t>
            </w:r>
          </w:p>
        </w:tc>
        <w:tc>
          <w:tcPr>
            <w:tcW w:type="dxa" w:w="3551"/>
            <w:tcBorders>
              <w:top w:val="single" w:color="000000" w:sz="4"/>
              <w:left w:val="none" w:color="000000" w:sz="4"/>
              <w:bottom w:val="single" w:color="000000" w:sz="4"/>
              <w:right w:val="single" w:color="000000" w:sz="4"/>
            </w:tcBorders>
            <w:vAlign w:val="top"/>
          </w:tcPr>
          <w:p>
            <w:pPr>
              <w:jc w:val="center"/>
            </w:pPr>
            <w:r>
              <w:rPr>
                <w:sz w:val="21"/>
              </w:rPr>
              <w:t>按需开展档案建设，确保建档率</w:t>
            </w:r>
            <w:r>
              <w:rPr>
                <w:sz w:val="21"/>
              </w:rPr>
              <w:t>100%</w:t>
            </w:r>
          </w:p>
        </w:tc>
        <w:tc>
          <w:tcPr>
            <w:tcW w:type="dxa" w:w="1835"/>
            <w:tcBorders>
              <w:top w:val="single" w:color="000000" w:sz="4"/>
              <w:left w:val="none" w:color="000000" w:sz="4"/>
              <w:bottom w:val="single" w:color="000000" w:sz="4"/>
              <w:right w:val="single" w:color="000000" w:sz="4"/>
            </w:tcBorders>
            <w:vAlign w:val="top"/>
          </w:tcPr>
          <w:p>
            <w:pPr>
              <w:jc w:val="center"/>
            </w:pPr>
            <w:r>
              <w:rPr>
                <w:sz w:val="21"/>
              </w:rPr>
              <w:t>建档率</w:t>
            </w:r>
            <w:r>
              <w:rPr>
                <w:sz w:val="21"/>
              </w:rPr>
              <w:t>100%</w:t>
            </w:r>
          </w:p>
        </w:tc>
        <w:tc>
          <w:tcPr>
            <w:tcW w:type="dxa" w:w="1716"/>
            <w:tcBorders>
              <w:top w:val="singl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2</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个别教育（访谈</w:t>
            </w:r>
            <w:r>
              <w:rPr>
                <w:sz w:val="21"/>
              </w:rPr>
              <w:t>/走访）</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500人次</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3</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微信</w:t>
            </w:r>
            <w:r>
              <w:rPr>
                <w:sz w:val="21"/>
              </w:rPr>
              <w:t>/电联</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3000人次</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4</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信息化核查</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每日核查</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5</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监督管理板块</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24次录入</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6</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主题教育学习</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7</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公益活动</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8</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集中宣告</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9</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集中点名</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4场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10</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震撼教育</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11</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社区普法宣传</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12</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技能培训和职业指导</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13</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心理健康教育和心理辅导服务</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20人次</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14</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志愿者名单</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在册社矫对象</w:t>
            </w:r>
            <w:r>
              <w:rPr>
                <w:sz w:val="21"/>
              </w:rPr>
              <w:t>66%</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15</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志愿者培训活动</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2场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16</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走访慰问帮扶</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17</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每季度更新一次资源表</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4次</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8303"/>
            <w:gridSpan w:val="4"/>
            <w:tcBorders>
              <w:top w:val="none" w:color="000000" w:sz="4"/>
              <w:left w:val="double" w:color="000000" w:sz="4"/>
              <w:bottom w:val="single" w:color="000000" w:sz="4"/>
              <w:right w:val="double" w:color="000000" w:sz="4"/>
            </w:tcBorders>
            <w:vAlign w:val="top"/>
          </w:tcPr>
          <w:p>
            <w:pPr>
              <w:jc w:val="center"/>
            </w:pPr>
            <w:r>
              <w:rPr>
                <w:b/>
                <w:sz w:val="21"/>
              </w:rPr>
              <w:t>安置帮教服务</w:t>
            </w: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w:t>
            </w:r>
          </w:p>
        </w:tc>
        <w:tc>
          <w:tcPr>
            <w:tcW w:type="dxa" w:w="3551"/>
            <w:tcBorders>
              <w:top w:val="single" w:color="000000" w:sz="4"/>
              <w:left w:val="none" w:color="000000" w:sz="4"/>
              <w:bottom w:val="single" w:color="000000" w:sz="4"/>
              <w:right w:val="single" w:color="000000" w:sz="4"/>
            </w:tcBorders>
            <w:vAlign w:val="top"/>
          </w:tcPr>
          <w:p>
            <w:pPr>
              <w:jc w:val="center"/>
            </w:pPr>
            <w:r>
              <w:rPr>
                <w:sz w:val="21"/>
              </w:rPr>
              <w:t>服务咨询</w:t>
            </w:r>
          </w:p>
        </w:tc>
        <w:tc>
          <w:tcPr>
            <w:tcW w:type="dxa" w:w="1835"/>
            <w:tcBorders>
              <w:top w:val="single" w:color="000000" w:sz="4"/>
              <w:left w:val="none" w:color="000000" w:sz="4"/>
              <w:bottom w:val="single" w:color="000000" w:sz="4"/>
              <w:right w:val="single" w:color="000000" w:sz="4"/>
            </w:tcBorders>
            <w:vAlign w:val="top"/>
          </w:tcPr>
          <w:p>
            <w:pPr>
              <w:jc w:val="center"/>
            </w:pPr>
            <w:r>
              <w:rPr>
                <w:sz w:val="21"/>
              </w:rPr>
              <w:t>20人次</w:t>
            </w:r>
          </w:p>
        </w:tc>
        <w:tc>
          <w:tcPr>
            <w:tcW w:type="dxa" w:w="1716"/>
            <w:tcBorders>
              <w:top w:val="singl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2</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搭建社会支持网络</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按需</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3</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技能培训和职业指导</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按需</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4</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心理健康教育和心理辅导服务</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按需</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5</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走访慰问帮扶</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6</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家庭关系修复</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按需</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7</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就业帮扶基地</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5个</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8303"/>
            <w:gridSpan w:val="4"/>
            <w:tcBorders>
              <w:top w:val="none" w:color="000000" w:sz="4"/>
              <w:left w:val="double" w:color="000000" w:sz="4"/>
              <w:bottom w:val="single" w:color="000000" w:sz="4"/>
              <w:right w:val="double" w:color="000000" w:sz="4"/>
            </w:tcBorders>
            <w:vAlign w:val="top"/>
          </w:tcPr>
          <w:p>
            <w:pPr>
              <w:jc w:val="center"/>
            </w:pPr>
            <w:r>
              <w:rPr>
                <w:b/>
                <w:sz w:val="21"/>
              </w:rPr>
              <w:t>督导培训</w:t>
            </w: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w:t>
            </w:r>
          </w:p>
        </w:tc>
        <w:tc>
          <w:tcPr>
            <w:tcW w:type="dxa" w:w="3551"/>
            <w:tcBorders>
              <w:top w:val="single" w:color="000000" w:sz="4"/>
              <w:left w:val="none" w:color="000000" w:sz="4"/>
              <w:bottom w:val="single" w:color="000000" w:sz="4"/>
              <w:right w:val="single" w:color="000000" w:sz="4"/>
            </w:tcBorders>
            <w:vAlign w:val="top"/>
          </w:tcPr>
          <w:p>
            <w:pPr>
              <w:jc w:val="center"/>
            </w:pPr>
            <w:r>
              <w:rPr>
                <w:sz w:val="21"/>
              </w:rPr>
              <w:t>员工培训</w:t>
            </w:r>
          </w:p>
        </w:tc>
        <w:tc>
          <w:tcPr>
            <w:tcW w:type="dxa" w:w="1835"/>
            <w:tcBorders>
              <w:top w:val="single" w:color="000000" w:sz="4"/>
              <w:left w:val="none" w:color="000000" w:sz="4"/>
              <w:bottom w:val="single" w:color="000000" w:sz="4"/>
              <w:right w:val="single" w:color="000000" w:sz="4"/>
            </w:tcBorders>
            <w:vAlign w:val="top"/>
          </w:tcPr>
          <w:p>
            <w:pPr>
              <w:jc w:val="center"/>
            </w:pPr>
            <w:r>
              <w:rPr>
                <w:sz w:val="21"/>
              </w:rPr>
              <w:t>4次</w:t>
            </w:r>
          </w:p>
        </w:tc>
        <w:tc>
          <w:tcPr>
            <w:tcW w:type="dxa" w:w="1716"/>
            <w:tcBorders>
              <w:top w:val="singl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2</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团队会议督导</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12次</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8303"/>
            <w:gridSpan w:val="4"/>
            <w:tcBorders>
              <w:top w:val="none" w:color="000000" w:sz="4"/>
              <w:left w:val="double" w:color="000000" w:sz="4"/>
              <w:bottom w:val="single" w:color="000000" w:sz="4"/>
              <w:right w:val="double" w:color="000000" w:sz="4"/>
            </w:tcBorders>
            <w:vAlign w:val="top"/>
          </w:tcPr>
          <w:p>
            <w:pPr>
              <w:jc w:val="center"/>
            </w:pPr>
            <w:r>
              <w:rPr>
                <w:b/>
                <w:sz w:val="21"/>
              </w:rPr>
              <w:t>行政管理</w:t>
            </w: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1</w:t>
            </w:r>
          </w:p>
        </w:tc>
        <w:tc>
          <w:tcPr>
            <w:tcW w:type="dxa" w:w="3551"/>
            <w:tcBorders>
              <w:top w:val="single" w:color="000000" w:sz="4"/>
              <w:left w:val="none" w:color="000000" w:sz="4"/>
              <w:bottom w:val="single" w:color="000000" w:sz="4"/>
              <w:right w:val="single" w:color="000000" w:sz="4"/>
            </w:tcBorders>
            <w:vAlign w:val="top"/>
          </w:tcPr>
          <w:p>
            <w:pPr>
              <w:jc w:val="center"/>
            </w:pPr>
            <w:r>
              <w:rPr>
                <w:sz w:val="21"/>
              </w:rPr>
              <w:t>项目评估报告</w:t>
            </w:r>
          </w:p>
        </w:tc>
        <w:tc>
          <w:tcPr>
            <w:tcW w:type="dxa" w:w="1835"/>
            <w:tcBorders>
              <w:top w:val="single" w:color="000000" w:sz="4"/>
              <w:left w:val="none" w:color="000000" w:sz="4"/>
              <w:bottom w:val="single" w:color="000000" w:sz="4"/>
              <w:right w:val="single" w:color="000000" w:sz="4"/>
            </w:tcBorders>
            <w:vAlign w:val="top"/>
          </w:tcPr>
          <w:p>
            <w:pPr>
              <w:jc w:val="center"/>
            </w:pPr>
            <w:r>
              <w:rPr>
                <w:sz w:val="21"/>
              </w:rPr>
              <w:t>1份</w:t>
            </w:r>
          </w:p>
        </w:tc>
        <w:tc>
          <w:tcPr>
            <w:tcW w:type="dxa" w:w="1716"/>
            <w:tcBorders>
              <w:top w:val="single" w:color="000000" w:sz="4"/>
              <w:left w:val="none" w:color="000000" w:sz="4"/>
              <w:bottom w:val="single" w:color="000000" w:sz="4"/>
              <w:right w:val="double" w:color="000000" w:sz="4"/>
            </w:tcBorders>
            <w:vAlign w:val="top"/>
          </w:tcPr>
          <w:p>
            <w:pPr>
              <w:jc w:val="left"/>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2</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工作总结（简报）</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4份/人</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3</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项目宣传刊物</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1份</w:t>
            </w:r>
          </w:p>
        </w:tc>
        <w:tc>
          <w:tcPr>
            <w:tcW w:type="dxa" w:w="1716"/>
            <w:tcBorders>
              <w:top w:val="none" w:color="000000" w:sz="4"/>
              <w:left w:val="none" w:color="000000" w:sz="4"/>
              <w:bottom w:val="single" w:color="000000" w:sz="4"/>
              <w:right w:val="double" w:color="000000" w:sz="4"/>
            </w:tcBorders>
            <w:vAlign w:val="top"/>
          </w:tcPr>
          <w:p>
            <w:pPr>
              <w:jc w:val="both"/>
            </w:pPr>
          </w:p>
        </w:tc>
      </w:tr>
      <w:tr>
        <w:tc>
          <w:tcPr>
            <w:tcW w:type="dxa" w:w="1201"/>
            <w:tcBorders>
              <w:top w:val="none" w:color="000000" w:sz="4"/>
              <w:left w:val="double" w:color="000000" w:sz="4"/>
              <w:bottom w:val="single" w:color="000000" w:sz="4"/>
              <w:right w:val="single" w:color="000000" w:sz="4"/>
            </w:tcBorders>
            <w:vAlign w:val="top"/>
          </w:tcPr>
          <w:p>
            <w:pPr>
              <w:jc w:val="center"/>
            </w:pPr>
            <w:r>
              <w:rPr>
                <w:sz w:val="21"/>
              </w:rPr>
              <w:t>4</w:t>
            </w:r>
          </w:p>
        </w:tc>
        <w:tc>
          <w:tcPr>
            <w:tcW w:type="dxa" w:w="3551"/>
            <w:tcBorders>
              <w:top w:val="none" w:color="000000" w:sz="4"/>
              <w:left w:val="none" w:color="000000" w:sz="4"/>
              <w:bottom w:val="single" w:color="000000" w:sz="4"/>
              <w:right w:val="single" w:color="000000" w:sz="4"/>
            </w:tcBorders>
            <w:vAlign w:val="top"/>
          </w:tcPr>
          <w:p>
            <w:pPr>
              <w:jc w:val="center"/>
            </w:pPr>
            <w:r>
              <w:rPr>
                <w:sz w:val="21"/>
              </w:rPr>
              <w:t>工作会议</w:t>
            </w:r>
          </w:p>
        </w:tc>
        <w:tc>
          <w:tcPr>
            <w:tcW w:type="dxa" w:w="1835"/>
            <w:tcBorders>
              <w:top w:val="none" w:color="000000" w:sz="4"/>
              <w:left w:val="none" w:color="000000" w:sz="4"/>
              <w:bottom w:val="single" w:color="000000" w:sz="4"/>
              <w:right w:val="single" w:color="000000" w:sz="4"/>
            </w:tcBorders>
            <w:vAlign w:val="top"/>
          </w:tcPr>
          <w:p>
            <w:pPr>
              <w:jc w:val="center"/>
            </w:pPr>
            <w:r>
              <w:rPr>
                <w:sz w:val="21"/>
              </w:rPr>
              <w:t>12次/人</w:t>
            </w:r>
          </w:p>
        </w:tc>
        <w:tc>
          <w:tcPr>
            <w:tcW w:type="dxa" w:w="1716"/>
            <w:tcBorders>
              <w:top w:val="none" w:color="000000" w:sz="4"/>
              <w:left w:val="none" w:color="000000" w:sz="4"/>
              <w:bottom w:val="single" w:color="000000" w:sz="4"/>
              <w:right w:val="double" w:color="000000" w:sz="4"/>
            </w:tcBorders>
            <w:vAlign w:val="top"/>
          </w:tcPr>
          <w:p>
            <w:pPr>
              <w:jc w:val="center"/>
            </w:pPr>
          </w:p>
        </w:tc>
      </w:tr>
      <w:tr>
        <w:tc>
          <w:tcPr>
            <w:tcW w:type="dxa" w:w="1201"/>
            <w:tcBorders>
              <w:top w:val="none" w:color="000000" w:sz="4"/>
              <w:left w:val="double" w:color="000000" w:sz="4"/>
              <w:bottom w:val="double" w:color="000000" w:sz="4"/>
              <w:right w:val="single" w:color="000000" w:sz="4"/>
            </w:tcBorders>
            <w:vAlign w:val="top"/>
          </w:tcPr>
          <w:p>
            <w:pPr>
              <w:jc w:val="center"/>
            </w:pPr>
            <w:r>
              <w:rPr>
                <w:sz w:val="21"/>
              </w:rPr>
              <w:t>5</w:t>
            </w:r>
          </w:p>
        </w:tc>
        <w:tc>
          <w:tcPr>
            <w:tcW w:type="dxa" w:w="3551"/>
            <w:tcBorders>
              <w:top w:val="none" w:color="000000" w:sz="4"/>
              <w:left w:val="none" w:color="000000" w:sz="4"/>
              <w:bottom w:val="double" w:color="000000" w:sz="4"/>
              <w:right w:val="single" w:color="000000" w:sz="4"/>
            </w:tcBorders>
            <w:vAlign w:val="top"/>
          </w:tcPr>
          <w:p>
            <w:pPr>
              <w:jc w:val="center"/>
            </w:pPr>
            <w:r>
              <w:rPr>
                <w:sz w:val="21"/>
              </w:rPr>
              <w:t>风险研判会议</w:t>
            </w:r>
          </w:p>
        </w:tc>
        <w:tc>
          <w:tcPr>
            <w:tcW w:type="dxa" w:w="1835"/>
            <w:tcBorders>
              <w:top w:val="none" w:color="000000" w:sz="4"/>
              <w:left w:val="none" w:color="000000" w:sz="4"/>
              <w:bottom w:val="double" w:color="000000" w:sz="4"/>
              <w:right w:val="single" w:color="000000" w:sz="4"/>
            </w:tcBorders>
            <w:vAlign w:val="top"/>
          </w:tcPr>
          <w:p>
            <w:pPr>
              <w:jc w:val="center"/>
            </w:pPr>
            <w:r>
              <w:rPr>
                <w:sz w:val="21"/>
              </w:rPr>
              <w:t>24次</w:t>
            </w:r>
          </w:p>
        </w:tc>
        <w:tc>
          <w:tcPr>
            <w:tcW w:type="dxa" w:w="1716"/>
            <w:tcBorders>
              <w:top w:val="none" w:color="000000" w:sz="4"/>
              <w:left w:val="none" w:color="000000" w:sz="4"/>
              <w:bottom w:val="double" w:color="000000" w:sz="4"/>
              <w:right w:val="double" w:color="000000" w:sz="4"/>
            </w:tcBorders>
            <w:vAlign w:val="top"/>
          </w:tcPr>
          <w:p>
            <w:pPr>
              <w:jc w:val="both"/>
            </w:pPr>
          </w:p>
        </w:tc>
      </w:tr>
    </w:tbl>
    <w:p>
      <w:pPr>
        <w:ind w:firstLine="420"/>
        <w:jc w:val="both"/>
      </w:pPr>
    </w:p>
    <w:p>
      <w:pPr>
        <w:jc w:val="both"/>
      </w:pPr>
      <w:r>
        <w:rPr>
          <w:b/>
          <w:sz w:val="21"/>
        </w:rPr>
        <w:t>11.</w:t>
      </w:r>
      <w:r>
        <w:rPr>
          <w:b/>
          <w:sz w:val="21"/>
        </w:rPr>
        <w:t>考核</w:t>
      </w:r>
      <w:r>
        <w:rPr>
          <w:b/>
          <w:sz w:val="21"/>
        </w:rPr>
        <w:t>要求</w:t>
      </w:r>
    </w:p>
    <w:p>
      <w:pPr>
        <w:ind w:firstLine="420"/>
        <w:jc w:val="both"/>
      </w:pPr>
      <w:r>
        <w:rPr>
          <w:sz w:val="21"/>
        </w:rPr>
        <w:t>11.1</w:t>
      </w:r>
      <w:r>
        <w:rPr>
          <w:sz w:val="21"/>
        </w:rPr>
        <w:t>按照《中山市政府购买社工服务项目评估指引》，对社工服务项目的评估，具体从服务质量标准、服务量及服务成果标准、专业服务标准、服务项目管理标准等四个方面进行考察、评价。附表如下</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796"/>
        <w:gridCol w:w="6194"/>
        <w:gridCol w:w="628"/>
        <w:gridCol w:w="686"/>
      </w:tblGrid>
      <w:tr>
        <w:tc>
          <w:tcPr>
            <w:tcW w:type="dxa" w:w="796"/>
            <w:tcBorders>
              <w:top w:val="double" w:color="000000" w:sz="4"/>
              <w:left w:val="double" w:color="000000" w:sz="4"/>
              <w:bottom w:val="single" w:color="000000" w:sz="4"/>
              <w:right w:val="single" w:color="000000" w:sz="4"/>
            </w:tcBorders>
            <w:shd w:fill="E0E0E0"/>
            <w:vAlign w:val="top"/>
          </w:tcPr>
          <w:p>
            <w:pPr>
              <w:jc w:val="center"/>
            </w:pPr>
            <w:r>
              <w:rPr>
                <w:b/>
                <w:sz w:val="21"/>
              </w:rPr>
              <w:t>评估标准</w:t>
            </w:r>
          </w:p>
        </w:tc>
        <w:tc>
          <w:tcPr>
            <w:tcW w:type="dxa" w:w="6194"/>
            <w:tcBorders>
              <w:top w:val="double" w:color="000000" w:sz="4"/>
              <w:left w:val="single" w:color="000000" w:sz="4"/>
              <w:bottom w:val="single" w:color="000000" w:sz="4"/>
              <w:right w:val="single" w:color="000000" w:sz="4"/>
            </w:tcBorders>
            <w:shd w:fill="E0E0E0"/>
            <w:vAlign w:val="top"/>
          </w:tcPr>
          <w:p>
            <w:pPr>
              <w:jc w:val="center"/>
            </w:pPr>
            <w:r>
              <w:rPr>
                <w:b/>
                <w:sz w:val="21"/>
              </w:rPr>
              <w:t>内容指标</w:t>
            </w:r>
          </w:p>
        </w:tc>
        <w:tc>
          <w:tcPr>
            <w:tcW w:type="dxa" w:w="628"/>
            <w:tcBorders>
              <w:top w:val="double" w:color="000000" w:sz="4"/>
              <w:left w:val="single" w:color="000000" w:sz="4"/>
              <w:bottom w:val="single" w:color="000000" w:sz="4"/>
              <w:right w:val="single" w:color="000000" w:sz="4"/>
            </w:tcBorders>
            <w:shd w:fill="E0E0E0"/>
            <w:vAlign w:val="top"/>
          </w:tcPr>
          <w:p>
            <w:pPr>
              <w:jc w:val="center"/>
            </w:pPr>
            <w:r>
              <w:rPr>
                <w:b/>
                <w:sz w:val="21"/>
              </w:rPr>
              <w:t>分数</w:t>
            </w:r>
          </w:p>
        </w:tc>
        <w:tc>
          <w:tcPr>
            <w:tcW w:type="dxa" w:w="686"/>
            <w:tcBorders>
              <w:top w:val="double" w:color="000000" w:sz="4"/>
              <w:left w:val="single" w:color="000000" w:sz="4"/>
              <w:bottom w:val="single" w:color="000000" w:sz="4"/>
              <w:right w:val="double" w:color="000000" w:sz="4"/>
            </w:tcBorders>
            <w:shd w:fill="E0E0E0"/>
            <w:vAlign w:val="top"/>
          </w:tcPr>
          <w:p>
            <w:pPr>
              <w:jc w:val="center"/>
            </w:pPr>
            <w:r>
              <w:rPr>
                <w:b/>
                <w:sz w:val="21"/>
              </w:rPr>
              <w:t>所占比重</w:t>
            </w:r>
          </w:p>
        </w:tc>
      </w:tr>
      <w:tr>
        <w:tc>
          <w:tcPr>
            <w:tcW w:type="dxa" w:w="796"/>
            <w:vMerge w:val="restart"/>
            <w:tcBorders>
              <w:top w:val="single" w:color="000000" w:sz="4"/>
              <w:left w:val="double" w:color="000000" w:sz="4"/>
              <w:bottom w:val="single" w:color="000000" w:sz="4"/>
              <w:right w:val="single" w:color="000000" w:sz="4"/>
            </w:tcBorders>
            <w:vAlign w:val="top"/>
          </w:tcPr>
          <w:p>
            <w:pPr>
              <w:jc w:val="center"/>
            </w:pPr>
            <w:r>
              <w:rPr>
                <w:b/>
                <w:sz w:val="21"/>
              </w:rPr>
              <w:t>服务质量标准</w:t>
            </w:r>
          </w:p>
        </w:tc>
        <w:tc>
          <w:tcPr>
            <w:tcW w:type="dxa" w:w="6194"/>
            <w:tcBorders>
              <w:top w:val="single" w:color="000000" w:sz="4"/>
              <w:left w:val="single" w:color="000000" w:sz="4"/>
              <w:bottom w:val="single" w:color="000000" w:sz="4"/>
              <w:right w:val="single" w:color="000000" w:sz="4"/>
            </w:tcBorders>
            <w:vAlign w:val="top"/>
          </w:tcPr>
          <w:p>
            <w:pPr>
              <w:jc w:val="both"/>
            </w:pPr>
            <w:r>
              <w:rPr>
                <w:sz w:val="21"/>
              </w:rPr>
              <w:t>1、社区矫正对象帮扶率100%；</w:t>
            </w:r>
          </w:p>
        </w:tc>
        <w:tc>
          <w:tcPr>
            <w:tcW w:type="dxa" w:w="628"/>
            <w:tcBorders>
              <w:top w:val="single" w:color="000000" w:sz="4"/>
              <w:left w:val="single" w:color="000000" w:sz="4"/>
              <w:bottom w:val="single" w:color="000000" w:sz="4"/>
              <w:right w:val="single" w:color="000000" w:sz="4"/>
            </w:tcBorders>
            <w:vAlign w:val="top"/>
          </w:tcPr>
          <w:p>
            <w:pPr>
              <w:jc w:val="center"/>
            </w:pPr>
            <w:r>
              <w:rPr>
                <w:b/>
                <w:sz w:val="21"/>
              </w:rPr>
              <w:t>30</w:t>
            </w:r>
          </w:p>
        </w:tc>
        <w:tc>
          <w:tcPr>
            <w:tcW w:type="dxa" w:w="686"/>
            <w:vMerge w:val="restart"/>
            <w:tcBorders>
              <w:top w:val="single" w:color="000000" w:sz="4"/>
              <w:left w:val="single" w:color="000000" w:sz="4"/>
              <w:bottom w:val="single" w:color="000000" w:sz="4"/>
              <w:right w:val="double" w:color="000000" w:sz="4"/>
            </w:tcBorders>
            <w:vAlign w:val="top"/>
          </w:tcPr>
          <w:p>
            <w:pPr>
              <w:jc w:val="center"/>
            </w:pPr>
            <w:r>
              <w:rPr>
                <w:b/>
                <w:sz w:val="21"/>
              </w:rPr>
              <w:t>40%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r>
              <w:rPr>
                <w:sz w:val="21"/>
              </w:rPr>
              <w:t>2、每月动态跟踪社区矫正对象，做到社区矫正对象无脱管漏管。落实安置帮教政策；</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3</w:t>
            </w:r>
            <w:r>
              <w:rPr>
                <w:b/>
                <w:sz w:val="21"/>
              </w:rPr>
              <w:t>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3</w:t>
            </w:r>
            <w:r>
              <w:rPr>
                <w:sz w:val="21"/>
              </w:rPr>
              <w:t>、社区矫正对象和</w:t>
            </w:r>
            <w:r>
              <w:rPr>
                <w:sz w:val="21"/>
              </w:rPr>
              <w:t>安置帮教对象</w:t>
            </w:r>
            <w:r>
              <w:rPr>
                <w:sz w:val="21"/>
              </w:rPr>
              <w:t>对机构所提供的服务满意度</w:t>
            </w:r>
            <w:r>
              <w:rPr>
                <w:sz w:val="21"/>
              </w:rPr>
              <w:t>80%以上（满意度反馈表格包括是否建立关系、是否进行家访、是否有通知参加公益劳动和教育学习、对社工服务的整体满意程度等等）；</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w:t>
            </w:r>
            <w:r>
              <w:rPr>
                <w:b/>
                <w:sz w:val="21"/>
              </w:rPr>
              <w:t>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4</w:t>
            </w:r>
            <w:r>
              <w:rPr>
                <w:sz w:val="21"/>
              </w:rPr>
              <w:t>、公安局、综治办、司法所对机构所提供的工作评价满意度</w:t>
            </w:r>
            <w:r>
              <w:rPr>
                <w:sz w:val="21"/>
              </w:rPr>
              <w:t>80%以上（包括工作配合度、工作态度、各项工作完成情况、是否及时汇报情况等等）；</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796"/>
            <w:vMerge w:val="restart"/>
            <w:tcBorders>
              <w:top w:val="single" w:color="000000" w:sz="4"/>
              <w:left w:val="double" w:color="000000" w:sz="4"/>
              <w:bottom w:val="single" w:color="000000" w:sz="4"/>
              <w:right w:val="single" w:color="000000" w:sz="4"/>
            </w:tcBorders>
            <w:vAlign w:val="top"/>
          </w:tcPr>
          <w:p>
            <w:pPr>
              <w:jc w:val="center"/>
            </w:pPr>
            <w:r>
              <w:rPr>
                <w:b/>
                <w:sz w:val="21"/>
              </w:rPr>
              <w:t>服务量标准</w:t>
            </w:r>
          </w:p>
        </w:tc>
        <w:tc>
          <w:tcPr>
            <w:tcW w:type="dxa" w:w="6194"/>
            <w:tcBorders>
              <w:top w:val="single" w:color="000000" w:sz="4"/>
              <w:left w:val="single" w:color="000000" w:sz="4"/>
              <w:bottom w:val="single" w:color="000000" w:sz="4"/>
              <w:right w:val="single" w:color="000000" w:sz="4"/>
            </w:tcBorders>
            <w:vAlign w:val="top"/>
          </w:tcPr>
          <w:p>
            <w:pPr>
              <w:jc w:val="both"/>
            </w:pPr>
            <w:r>
              <w:rPr>
                <w:sz w:val="21"/>
              </w:rPr>
              <w:t>1、社区矫正对象100%建立帮扶档案，以提供整套档案材料为准；</w:t>
            </w:r>
          </w:p>
        </w:tc>
        <w:tc>
          <w:tcPr>
            <w:tcW w:type="dxa" w:w="628"/>
            <w:tcBorders>
              <w:top w:val="single" w:color="000000" w:sz="4"/>
              <w:left w:val="single" w:color="000000" w:sz="4"/>
              <w:bottom w:val="single" w:color="000000" w:sz="4"/>
              <w:right w:val="single" w:color="000000" w:sz="4"/>
            </w:tcBorders>
            <w:vAlign w:val="top"/>
          </w:tcPr>
          <w:p>
            <w:pPr>
              <w:jc w:val="center"/>
            </w:pPr>
            <w:r>
              <w:rPr>
                <w:b/>
                <w:sz w:val="21"/>
              </w:rPr>
              <w:t>30</w:t>
            </w:r>
          </w:p>
        </w:tc>
        <w:tc>
          <w:tcPr>
            <w:tcW w:type="dxa" w:w="686"/>
            <w:vMerge w:val="restart"/>
            <w:tcBorders>
              <w:top w:val="single" w:color="000000" w:sz="4"/>
              <w:left w:val="single" w:color="000000" w:sz="4"/>
              <w:bottom w:val="single" w:color="000000" w:sz="4"/>
              <w:right w:val="doub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2、</w:t>
            </w:r>
            <w:r>
              <w:rPr>
                <w:sz w:val="21"/>
              </w:rPr>
              <w:t>教育年人均不低于</w:t>
            </w:r>
            <w:r>
              <w:rPr>
                <w:sz w:val="21"/>
              </w:rPr>
              <w:t>15人次，远程教育使用率不低于90%，年人均帮扶不低于0.5人次</w:t>
            </w:r>
            <w:r>
              <w:rPr>
                <w:sz w:val="21"/>
              </w:rPr>
              <w:t>；</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30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3、建立不少于</w:t>
            </w:r>
            <w:r>
              <w:rPr>
                <w:sz w:val="21"/>
              </w:rPr>
              <w:t>5</w:t>
            </w:r>
            <w:r>
              <w:rPr>
                <w:sz w:val="21"/>
              </w:rPr>
              <w:t>家社会单位的社矫安帮服务基地；</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4、动态管理（含家访、电访和面谈</w:t>
            </w:r>
            <w:r>
              <w:rPr>
                <w:sz w:val="21"/>
              </w:rPr>
              <w:t>500</w:t>
            </w:r>
            <w:r>
              <w:rPr>
                <w:sz w:val="21"/>
              </w:rPr>
              <w:t>人次，</w:t>
            </w:r>
            <w:r>
              <w:rPr>
                <w:sz w:val="21"/>
              </w:rPr>
              <w:t>定期查访社区矫正对象</w:t>
            </w:r>
            <w:r>
              <w:rPr>
                <w:sz w:val="21"/>
              </w:rPr>
              <w:t>；</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5、举办</w:t>
            </w:r>
            <w:r>
              <w:rPr>
                <w:sz w:val="21"/>
              </w:rPr>
              <w:t>2</w:t>
            </w:r>
            <w:r>
              <w:rPr>
                <w:sz w:val="21"/>
              </w:rPr>
              <w:t>场社区</w:t>
            </w:r>
            <w:r>
              <w:rPr>
                <w:sz w:val="21"/>
              </w:rPr>
              <w:t>普法</w:t>
            </w:r>
            <w:r>
              <w:rPr>
                <w:sz w:val="21"/>
              </w:rPr>
              <w:t>宣传</w:t>
            </w:r>
            <w:r>
              <w:rPr>
                <w:sz w:val="21"/>
              </w:rPr>
              <w:t>活动</w:t>
            </w:r>
            <w:r>
              <w:rPr>
                <w:sz w:val="21"/>
              </w:rPr>
              <w:t>，深入社区、学校和厂企开展有针对性的法制宣传；</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796"/>
            <w:vMerge w:val="restart"/>
            <w:tcBorders>
              <w:top w:val="single" w:color="000000" w:sz="4"/>
              <w:left w:val="double" w:color="000000" w:sz="4"/>
              <w:bottom w:val="single" w:color="000000" w:sz="4"/>
              <w:right w:val="single" w:color="000000" w:sz="4"/>
            </w:tcBorders>
            <w:vAlign w:val="top"/>
          </w:tcPr>
          <w:p>
            <w:pPr>
              <w:jc w:val="center"/>
            </w:pPr>
            <w:r>
              <w:rPr>
                <w:b/>
                <w:sz w:val="21"/>
              </w:rPr>
              <w:t>专业服务标准</w:t>
            </w:r>
          </w:p>
        </w:tc>
        <w:tc>
          <w:tcPr>
            <w:tcW w:type="dxa" w:w="6194"/>
            <w:tcBorders>
              <w:top w:val="single" w:color="000000" w:sz="4"/>
              <w:left w:val="single" w:color="000000" w:sz="4"/>
              <w:bottom w:val="single" w:color="000000" w:sz="4"/>
              <w:right w:val="single" w:color="000000" w:sz="4"/>
            </w:tcBorders>
            <w:vAlign w:val="top"/>
          </w:tcPr>
          <w:p>
            <w:pPr>
              <w:jc w:val="both"/>
            </w:pPr>
            <w:r>
              <w:rPr>
                <w:sz w:val="21"/>
              </w:rPr>
              <w:t>1、政府购买社工服务项目必须配备有社矫督导经验的社工督导，为确保专业效果，督导服务每月一次，应有出勤表和督导记录；</w:t>
            </w:r>
          </w:p>
        </w:tc>
        <w:tc>
          <w:tcPr>
            <w:tcW w:type="dxa" w:w="628"/>
            <w:tcBorders>
              <w:top w:val="single" w:color="000000" w:sz="4"/>
              <w:left w:val="single" w:color="000000" w:sz="4"/>
              <w:bottom w:val="single" w:color="000000" w:sz="4"/>
              <w:right w:val="single" w:color="000000" w:sz="4"/>
            </w:tcBorders>
            <w:vAlign w:val="top"/>
          </w:tcPr>
          <w:p>
            <w:pPr>
              <w:jc w:val="center"/>
            </w:pPr>
            <w:r>
              <w:rPr>
                <w:b/>
                <w:sz w:val="21"/>
              </w:rPr>
              <w:t>60</w:t>
            </w:r>
          </w:p>
        </w:tc>
        <w:tc>
          <w:tcPr>
            <w:tcW w:type="dxa" w:w="686"/>
            <w:vMerge w:val="restart"/>
            <w:tcBorders>
              <w:top w:val="single" w:color="000000" w:sz="4"/>
              <w:left w:val="single" w:color="000000" w:sz="4"/>
              <w:bottom w:val="single" w:color="000000" w:sz="4"/>
              <w:right w:val="doub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2、关于项目，不少于</w:t>
            </w:r>
            <w:r>
              <w:rPr>
                <w:sz w:val="21"/>
              </w:rPr>
              <w:t>2</w:t>
            </w:r>
            <w:r>
              <w:rPr>
                <w:sz w:val="21"/>
              </w:rPr>
              <w:t>篇公开宣传报道</w:t>
            </w:r>
            <w:r>
              <w:rPr>
                <w:sz w:val="21"/>
              </w:rPr>
              <w:t>或案例入库</w:t>
            </w:r>
            <w:r>
              <w:rPr>
                <w:sz w:val="21"/>
              </w:rPr>
              <w:t>。减少</w:t>
            </w:r>
            <w:r>
              <w:rPr>
                <w:sz w:val="21"/>
              </w:rPr>
              <w:t>1篇扣</w:t>
            </w:r>
            <w:r>
              <w:rPr>
                <w:sz w:val="21"/>
              </w:rPr>
              <w:t>20</w:t>
            </w:r>
            <w:r>
              <w:rPr>
                <w:sz w:val="21"/>
              </w:rPr>
              <w:t>分</w:t>
            </w:r>
            <w:r>
              <w:rPr>
                <w:sz w:val="21"/>
              </w:rPr>
              <w:t>；</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40</w:t>
            </w:r>
          </w:p>
        </w:tc>
      </w:tr>
      <w:tr>
        <w:tc>
          <w:tcPr>
            <w:tcW w:type="dxa" w:w="796"/>
            <w:vMerge w:val="restart"/>
            <w:tcBorders>
              <w:top w:val="single" w:color="000000" w:sz="4"/>
              <w:left w:val="double" w:color="000000" w:sz="4"/>
              <w:bottom w:val="single" w:color="000000" w:sz="4"/>
              <w:right w:val="single" w:color="000000" w:sz="4"/>
            </w:tcBorders>
            <w:vAlign w:val="top"/>
          </w:tcPr>
          <w:p>
            <w:pPr>
              <w:jc w:val="center"/>
            </w:pPr>
            <w:r>
              <w:rPr>
                <w:b/>
                <w:sz w:val="21"/>
              </w:rPr>
              <w:t>服务项目</w:t>
            </w:r>
          </w:p>
          <w:p>
            <w:pPr>
              <w:jc w:val="center"/>
            </w:pPr>
            <w:r>
              <w:rPr>
                <w:b/>
                <w:sz w:val="21"/>
              </w:rPr>
              <w:t>管理标准</w:t>
            </w:r>
          </w:p>
        </w:tc>
        <w:tc>
          <w:tcPr>
            <w:tcW w:type="dxa" w:w="6194"/>
            <w:tcBorders>
              <w:top w:val="single" w:color="000000" w:sz="4"/>
              <w:left w:val="single" w:color="000000" w:sz="4"/>
              <w:bottom w:val="single" w:color="000000" w:sz="4"/>
              <w:right w:val="single" w:color="000000" w:sz="4"/>
            </w:tcBorders>
            <w:vAlign w:val="top"/>
          </w:tcPr>
          <w:p>
            <w:pPr>
              <w:jc w:val="both"/>
            </w:pPr>
            <w:r>
              <w:rPr>
                <w:sz w:val="21"/>
              </w:rPr>
              <w:t>1、服务提供机构是否建立健全与服务项目实施相适应的一系列管理服务制度；</w:t>
            </w:r>
          </w:p>
        </w:tc>
        <w:tc>
          <w:tcPr>
            <w:tcW w:type="dxa" w:w="628"/>
            <w:tcBorders>
              <w:top w:val="single" w:color="000000" w:sz="4"/>
              <w:left w:val="single" w:color="000000" w:sz="4"/>
              <w:bottom w:val="single" w:color="000000" w:sz="4"/>
              <w:right w:val="single" w:color="000000" w:sz="4"/>
            </w:tcBorders>
            <w:vAlign w:val="top"/>
          </w:tcPr>
          <w:p>
            <w:pPr>
              <w:jc w:val="center"/>
            </w:pPr>
            <w:r>
              <w:rPr>
                <w:b/>
                <w:sz w:val="21"/>
              </w:rPr>
              <w:t>30</w:t>
            </w:r>
          </w:p>
        </w:tc>
        <w:tc>
          <w:tcPr>
            <w:tcW w:type="dxa" w:w="686"/>
            <w:vMerge w:val="restart"/>
            <w:tcBorders>
              <w:top w:val="single" w:color="000000" w:sz="4"/>
              <w:left w:val="single" w:color="000000" w:sz="4"/>
              <w:bottom w:val="single" w:color="000000" w:sz="4"/>
              <w:right w:val="doub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2、服务提供机构是否制作宣传栏、宣传手册、资料单张或有关说明资料，清楚陈述机构服务的宗旨、目标、服务对象和服务提供方式；</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3、服务提供机构应全面、真实地记录其服务运作、服务活动以及投诉处理情况并完整保存；应每月制作准确的统计报告，向采购人汇报情况；</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30</w:t>
            </w:r>
          </w:p>
        </w:tc>
      </w:tr>
      <w:tr>
        <w:tc>
          <w:tcPr>
            <w:tcW w:type="dxa" w:w="796"/>
            <w:vMerge/>
            <w:tcBorders>
              <w:top w:val="single" w:color="000000" w:sz="4"/>
              <w:left w:val="double" w:color="000000" w:sz="4"/>
              <w:bottom w:val="single" w:color="000000" w:sz="4"/>
              <w:right w:val="single" w:color="000000" w:sz="4"/>
            </w:tcBorders>
          </w:tcPr>
          <w:p/>
        </w:tc>
        <w:tc>
          <w:tcPr>
            <w:tcW w:type="dxa" w:w="6194"/>
            <w:tcBorders>
              <w:top w:val="none" w:color="000000" w:sz="4"/>
              <w:left w:val="single" w:color="000000" w:sz="4"/>
              <w:bottom w:val="single" w:color="000000" w:sz="4"/>
              <w:right w:val="single" w:color="000000" w:sz="4"/>
            </w:tcBorders>
            <w:vAlign w:val="top"/>
          </w:tcPr>
          <w:p>
            <w:pPr>
              <w:jc w:val="both"/>
            </w:pPr>
            <w:r>
              <w:rPr>
                <w:sz w:val="21"/>
              </w:rPr>
              <w:t>4、服务提供机构应当对服务项目资金进行规范的财务管理，定期研究提高经济效益和降低运营成本；是否公开财务报表。</w:t>
            </w:r>
          </w:p>
        </w:tc>
        <w:tc>
          <w:tcPr>
            <w:tcW w:type="dxa" w:w="628"/>
            <w:tcBorders>
              <w:top w:val="none" w:color="000000" w:sz="4"/>
              <w:left w:val="single" w:color="000000" w:sz="4"/>
              <w:bottom w:val="single" w:color="000000" w:sz="4"/>
              <w:right w:val="single" w:color="000000" w:sz="4"/>
            </w:tcBorders>
            <w:vAlign w:val="top"/>
          </w:tcPr>
          <w:p>
            <w:pPr>
              <w:jc w:val="center"/>
            </w:pPr>
            <w:r>
              <w:rPr>
                <w:b/>
                <w:sz w:val="21"/>
              </w:rPr>
              <w:t>20</w:t>
            </w:r>
          </w:p>
        </w:tc>
      </w:tr>
      <w:tr>
        <w:tc>
          <w:tcPr>
            <w:tcW w:type="dxa" w:w="8304"/>
            <w:gridSpan w:val="4"/>
            <w:tcBorders>
              <w:top w:val="single" w:color="000000" w:sz="4"/>
              <w:left w:val="double" w:color="000000" w:sz="4"/>
              <w:bottom w:val="double" w:color="000000" w:sz="4"/>
              <w:right w:val="double" w:color="000000" w:sz="4"/>
            </w:tcBorders>
            <w:vAlign w:val="top"/>
          </w:tcPr>
          <w:p>
            <w:pPr>
              <w:jc w:val="both"/>
            </w:pPr>
            <w:r>
              <w:rPr>
                <w:b/>
                <w:sz w:val="21"/>
              </w:rPr>
              <w:t>注意事项</w:t>
            </w:r>
          </w:p>
          <w:p>
            <w:pPr>
              <w:jc w:val="both"/>
            </w:pPr>
            <w:r>
              <w:rPr>
                <w:sz w:val="21"/>
              </w:rPr>
              <w:t>1、达到内容指标，按分数列取得相应分数。达不到内容指标，按达到比例打分。</w:t>
            </w:r>
          </w:p>
          <w:p>
            <w:pPr>
              <w:jc w:val="both"/>
            </w:pPr>
            <w:r>
              <w:rPr>
                <w:sz w:val="21"/>
              </w:rPr>
              <w:t>2、内容指标为是否科目，是为满分，否为零分。</w:t>
            </w:r>
          </w:p>
          <w:p>
            <w:pPr>
              <w:jc w:val="both"/>
            </w:pPr>
            <w:r>
              <w:rPr>
                <w:sz w:val="21"/>
              </w:rPr>
              <w:t>3、服务量标准最后一项为加分项目。</w:t>
            </w:r>
          </w:p>
          <w:p>
            <w:pPr>
              <w:jc w:val="both"/>
            </w:pPr>
            <w:r>
              <w:rPr>
                <w:sz w:val="21"/>
              </w:rPr>
              <w:t>4、分数之和乘上所占比重得出最后分数：</w:t>
            </w:r>
          </w:p>
          <w:p>
            <w:pPr>
              <w:jc w:val="both"/>
            </w:pPr>
            <w:r>
              <w:rPr>
                <w:sz w:val="21"/>
              </w:rPr>
              <w:t xml:space="preserve">     </w:t>
            </w:r>
            <w:r>
              <w:rPr>
                <w:sz w:val="21"/>
              </w:rPr>
              <w:t>全年评估</w:t>
            </w:r>
            <w:r>
              <w:rPr>
                <w:sz w:val="21"/>
              </w:rPr>
              <w:t>90分（含90分）以上为优秀、75（含75）—89分为良好、60（含60）—74分为合格、60分以下为不合格。经评估结果为不合格的，取消其下年度承接采购方购买社工服务项目的资格。</w:t>
            </w:r>
          </w:p>
        </w:tc>
      </w:tr>
    </w:tbl>
    <w:p>
      <w:pPr>
        <w:ind w:firstLine="420"/>
        <w:jc w:val="both"/>
      </w:pPr>
      <w:r>
        <w:rPr>
          <w:sz w:val="21"/>
        </w:rPr>
        <w:t>11.2</w:t>
      </w:r>
      <w:r>
        <w:rPr>
          <w:sz w:val="21"/>
        </w:rPr>
        <w:t>评估方法</w:t>
      </w:r>
    </w:p>
    <w:p>
      <w:pPr>
        <w:ind w:firstLine="420"/>
        <w:jc w:val="both"/>
      </w:pPr>
      <w:r>
        <w:rPr>
          <w:sz w:val="21"/>
        </w:rPr>
        <w:t>按照《中山市政府购买社工服务项目评估指引》试行操作。</w:t>
      </w:r>
    </w:p>
    <w:p>
      <w:pPr>
        <w:ind w:firstLine="420"/>
        <w:jc w:val="both"/>
      </w:pPr>
      <w:r>
        <w:rPr>
          <w:sz w:val="21"/>
        </w:rPr>
        <w:t>1)</w:t>
      </w:r>
      <w:r>
        <w:rPr>
          <w:sz w:val="21"/>
        </w:rPr>
        <w:t>评估机构根据政府购买服务合同约定及本办法标准，进行多样化的综合评估。</w:t>
      </w:r>
    </w:p>
    <w:p>
      <w:pPr>
        <w:ind w:firstLine="420"/>
        <w:jc w:val="both"/>
      </w:pPr>
      <w:r>
        <w:rPr>
          <w:sz w:val="21"/>
        </w:rPr>
        <w:t>2)</w:t>
      </w:r>
      <w:r>
        <w:rPr>
          <w:sz w:val="21"/>
        </w:rPr>
        <w:t>对服务项目的评估包括审阅文件、面谈、观察、抽查等方法。审阅文件至少包括检查机构有关书面政策、程序、各项服务质量标准等文件；面谈至少应包括与服务对象、社工及机构负责人的单独面谈或小组座谈；观察至少应包含对机构、服务站点工作的实际探访；抽查至少应包含调查问卷、对机构计划、工作记录的随机调阅。</w:t>
      </w:r>
    </w:p>
    <w:p>
      <w:pPr>
        <w:ind w:firstLine="420"/>
        <w:jc w:val="both"/>
      </w:pPr>
    </w:p>
    <w:p>
      <w:pPr>
        <w:jc w:val="both"/>
      </w:pPr>
      <w:r>
        <w:rPr>
          <w:b/>
          <w:sz w:val="21"/>
        </w:rPr>
        <w:t>12.</w:t>
      </w:r>
      <w:r>
        <w:rPr>
          <w:b/>
          <w:sz w:val="21"/>
        </w:rPr>
        <w:t>预算</w:t>
      </w:r>
      <w:r>
        <w:rPr>
          <w:b/>
          <w:sz w:val="21"/>
        </w:rPr>
        <w:t>编制规定</w:t>
      </w:r>
    </w:p>
    <w:p>
      <w:pPr>
        <w:ind w:firstLine="420"/>
      </w:pPr>
      <w:r>
        <w:rPr>
          <w:sz w:val="21"/>
        </w:rPr>
        <w:t>12.1</w:t>
      </w:r>
      <w:r>
        <w:rPr>
          <w:b/>
          <w:sz w:val="21"/>
        </w:rPr>
        <w:t>项目经费：本项目预算</w:t>
      </w:r>
      <w:r>
        <w:rPr>
          <w:b/>
          <w:sz w:val="21"/>
        </w:rPr>
        <w:t>为三年</w:t>
      </w:r>
      <w:r>
        <w:rPr>
          <w:b/>
          <w:sz w:val="21"/>
        </w:rPr>
        <w:t>120万元，每年4</w:t>
      </w:r>
      <w:r>
        <w:rPr>
          <w:b/>
          <w:sz w:val="21"/>
        </w:rPr>
        <w:t>0万元。</w:t>
      </w:r>
    </w:p>
    <w:p>
      <w:pPr>
        <w:ind w:firstLine="420"/>
      </w:pPr>
      <w:r>
        <w:rPr>
          <w:sz w:val="21"/>
        </w:rPr>
        <w:t>12.2</w:t>
      </w:r>
      <w:r>
        <w:rPr>
          <w:sz w:val="21"/>
        </w:rPr>
        <w:t>预算组成：</w:t>
      </w:r>
      <w:r>
        <w:rPr>
          <w:sz w:val="21"/>
        </w:rPr>
        <w:t>项目经费预算应包括人员薪酬经费、督导培训经费、服务活动经费、行政管理经费等主要内容，具体为：</w:t>
      </w:r>
    </w:p>
    <w:p>
      <w:pPr>
        <w:ind w:firstLine="420"/>
      </w:pPr>
      <w:r>
        <w:rPr>
          <w:sz w:val="21"/>
        </w:rPr>
        <w:t>(1)</w:t>
      </w:r>
      <w:r>
        <w:rPr>
          <w:sz w:val="21"/>
        </w:rPr>
        <w:t>人员薪酬经费：包括社工薪酬待遇、社会保险等，</w:t>
      </w:r>
      <w:r>
        <w:rPr>
          <w:sz w:val="21"/>
        </w:rPr>
        <w:t>不低于</w:t>
      </w:r>
      <w:r>
        <w:rPr>
          <w:sz w:val="21"/>
        </w:rPr>
        <w:t>项目经费</w:t>
      </w:r>
      <w:r>
        <w:rPr>
          <w:sz w:val="21"/>
        </w:rPr>
        <w:t>70</w:t>
      </w:r>
      <w:r>
        <w:rPr>
          <w:sz w:val="21"/>
        </w:rPr>
        <w:t>%。</w:t>
      </w:r>
    </w:p>
    <w:p>
      <w:pPr>
        <w:ind w:firstLine="420"/>
      </w:pPr>
      <w:r>
        <w:rPr>
          <w:sz w:val="21"/>
        </w:rPr>
        <w:t>(2)</w:t>
      </w:r>
      <w:r>
        <w:rPr>
          <w:sz w:val="21"/>
        </w:rPr>
        <w:t>督导培训经费：包括督导费用、培训费用等，约占项目经费</w:t>
      </w:r>
      <w:r>
        <w:rPr>
          <w:sz w:val="21"/>
        </w:rPr>
        <w:t>5</w:t>
      </w:r>
      <w:r>
        <w:rPr>
          <w:sz w:val="21"/>
        </w:rPr>
        <w:t>%。</w:t>
      </w:r>
    </w:p>
    <w:p>
      <w:pPr>
        <w:ind w:firstLine="420"/>
      </w:pPr>
      <w:r>
        <w:rPr>
          <w:sz w:val="21"/>
        </w:rPr>
        <w:t>(3)</w:t>
      </w:r>
      <w:r>
        <w:rPr>
          <w:sz w:val="21"/>
        </w:rPr>
        <w:t>服务活动经费：</w:t>
      </w:r>
      <w:r>
        <w:rPr>
          <w:sz w:val="21"/>
        </w:rPr>
        <w:t>包括中标机构在采</w:t>
      </w:r>
      <w:r>
        <w:rPr>
          <w:sz w:val="21"/>
        </w:rPr>
        <w:t>购人指定提供服务的场所开展服务的基本用品（包括办公用品、办公设备的日常维护和耗材更换），服务活动开展所需的办公用品费，专业服务所产生的物资费、交通费、误餐费、专家论证费、宣传、通讯等费用，</w:t>
      </w:r>
      <w:r>
        <w:rPr>
          <w:sz w:val="21"/>
        </w:rPr>
        <w:t>不高于</w:t>
      </w:r>
      <w:r>
        <w:rPr>
          <w:sz w:val="21"/>
        </w:rPr>
        <w:t>项目经费的</w:t>
      </w:r>
      <w:r>
        <w:rPr>
          <w:sz w:val="21"/>
        </w:rPr>
        <w:t>8</w:t>
      </w:r>
      <w:r>
        <w:rPr>
          <w:sz w:val="21"/>
        </w:rPr>
        <w:t>%</w:t>
      </w:r>
      <w:r>
        <w:rPr>
          <w:sz w:val="21"/>
        </w:rPr>
        <w:t>。</w:t>
      </w:r>
    </w:p>
    <w:p>
      <w:pPr>
        <w:ind w:firstLine="420"/>
      </w:pPr>
      <w:r>
        <w:rPr>
          <w:sz w:val="21"/>
        </w:rPr>
        <w:t>(4)</w:t>
      </w:r>
      <w:r>
        <w:rPr>
          <w:sz w:val="21"/>
        </w:rPr>
        <w:t>项目管理经费：包括项目税费、项目行政、财务及其它管理费用，纳入机构管理费用，</w:t>
      </w:r>
      <w:r>
        <w:rPr>
          <w:sz w:val="21"/>
        </w:rPr>
        <w:t>其中税费约占项目经费</w:t>
      </w:r>
      <w:r>
        <w:rPr>
          <w:sz w:val="21"/>
        </w:rPr>
        <w:t>7%，其他费用</w:t>
      </w:r>
      <w:r>
        <w:rPr>
          <w:sz w:val="21"/>
        </w:rPr>
        <w:t>约占项目经费</w:t>
      </w:r>
      <w:r>
        <w:rPr>
          <w:sz w:val="21"/>
        </w:rPr>
        <w:t>10%。</w:t>
      </w:r>
    </w:p>
    <w:p>
      <w:pPr>
        <w:ind w:firstLine="420"/>
      </w:pPr>
    </w:p>
    <w:p>
      <w:pPr>
        <w:jc w:val="both"/>
      </w:pPr>
      <w:r>
        <w:rPr>
          <w:b/>
          <w:sz w:val="21"/>
        </w:rPr>
        <w:t>13.</w:t>
      </w:r>
      <w:r>
        <w:rPr>
          <w:b/>
          <w:sz w:val="21"/>
        </w:rPr>
        <w:t>报价</w:t>
      </w:r>
      <w:r>
        <w:rPr>
          <w:b/>
          <w:sz w:val="21"/>
        </w:rPr>
        <w:t>方式</w:t>
      </w:r>
    </w:p>
    <w:p>
      <w:pPr>
        <w:ind w:firstLine="420"/>
      </w:pPr>
      <w:r>
        <w:rPr>
          <w:sz w:val="21"/>
        </w:rPr>
        <w:t>13.1</w:t>
      </w:r>
      <w:r>
        <w:rPr>
          <w:sz w:val="21"/>
        </w:rPr>
        <w:t>投标报价为：全包价，报价不得高于本项目的采购预算，否则将视为无效投标。</w:t>
      </w:r>
    </w:p>
    <w:p>
      <w:pPr>
        <w:ind w:firstLine="420"/>
      </w:pPr>
      <w:r>
        <w:rPr>
          <w:sz w:val="21"/>
        </w:rPr>
        <w:t>13.2</w:t>
      </w:r>
      <w:r>
        <w:rPr>
          <w:sz w:val="21"/>
        </w:rPr>
        <w:t>投标报价应包括但不限于：员工薪酬、项目管理经费、项目督导及顾问指导费用、项目活动经费、税费及其他费用等。</w:t>
      </w:r>
    </w:p>
    <w:p>
      <w:pPr>
        <w:ind w:firstLine="420"/>
      </w:pPr>
      <w:r>
        <w:rPr>
          <w:sz w:val="21"/>
        </w:rPr>
        <w:t>13.3</w:t>
      </w:r>
      <w:r>
        <w:rPr>
          <w:sz w:val="21"/>
        </w:rPr>
        <w:t>货币：人民币。</w:t>
      </w:r>
    </w:p>
    <w:p>
      <w:pPr>
        <w:ind w:firstLine="420"/>
      </w:pPr>
    </w:p>
    <w:p>
      <w:pPr>
        <w:jc w:val="both"/>
      </w:pPr>
      <w:r>
        <w:rPr>
          <w:b/>
          <w:sz w:val="21"/>
        </w:rPr>
        <w:t>14.</w:t>
      </w:r>
      <w:r>
        <w:rPr>
          <w:b/>
          <w:sz w:val="21"/>
        </w:rPr>
        <w:t>付款</w:t>
      </w:r>
      <w:r>
        <w:rPr>
          <w:b/>
          <w:sz w:val="21"/>
        </w:rPr>
        <w:t>方式</w:t>
      </w:r>
    </w:p>
    <w:p>
      <w:pPr>
        <w:ind w:firstLine="420"/>
        <w:jc w:val="both"/>
      </w:pPr>
      <w:r>
        <w:rPr>
          <w:sz w:val="21"/>
        </w:rPr>
        <w:t>本项目的</w:t>
      </w:r>
      <w:r>
        <w:rPr>
          <w:sz w:val="21"/>
        </w:rPr>
        <w:t>付款方式为每个年度分五期划拨，年度经费</w:t>
      </w:r>
      <w:r>
        <w:rPr>
          <w:sz w:val="21"/>
        </w:rPr>
        <w:t>40万的95%在前四期平均划拨（每三个月划拨一次），剩余5%经费在年度项目末期评估合格，并且在完成100%指标量后拨付。第一期在签订后20个工作日内申请拨付。中标人须开据有效的发票给采购人。第二、第三年拨付参考第一年的拨付方式。</w:t>
      </w:r>
    </w:p>
    <w:p>
      <w:pPr>
        <w:ind w:firstLine="420"/>
        <w:jc w:val="both"/>
      </w:pPr>
    </w:p>
    <w:p>
      <w:pPr>
        <w:jc w:val="both"/>
      </w:pPr>
      <w:r>
        <w:rPr>
          <w:b/>
          <w:sz w:val="21"/>
        </w:rPr>
        <w:t>15.</w:t>
      </w:r>
      <w:r>
        <w:rPr>
          <w:b/>
          <w:sz w:val="21"/>
        </w:rPr>
        <w:t>采购人配合条件</w:t>
      </w:r>
    </w:p>
    <w:p>
      <w:pPr>
        <w:jc w:val="both"/>
      </w:pPr>
      <w:r>
        <w:rPr>
          <w:sz w:val="21"/>
        </w:rPr>
        <w:t>供应商在响应文件中要列明在项目实施过程中要求采购方提供的配合条件。所列配合条件采购方将尽量配合解决，但不代表采购方全部接受，采购方有权全部或部分拒绝供应商提出的配合条件。</w:t>
      </w:r>
    </w:p>
    <w:p/>
    <w:p>
      <w:pPr>
        <w:ind w:firstLine="480"/>
      </w:pPr>
    </w:p>
    <w:p/>
    <w:p>
      <w:r>
        <w:rPr/>
        <w:t>采购包1（中山市港口镇综合治理办公室2023-2026年度社区矫正和安置帮教社会工作服务）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40万/年，即120万/3年。（具体以合同签订时间为准）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的付款方式为每个年度分五期划拨，年度经费40万的95%在前四期平均划拨（每三个月划拨一次），剩余5%经费在年度项目末期评估合格，并且在完成100%指标量后拨付。第一期在签订后20个工作日内申请拨付。中标人须开据有效的发票给采购人。第二、第三年拨付参考第一年的拨付方式。</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社会工作服务</w:t>
            </w:r>
          </w:p>
        </w:tc>
        <w:tc>
          <w:tcPr>
            <w:tcW w:type="dxa" w:w="933"/>
          </w:tcPr>
          <w:p>
            <w:pPr>
              <w:jc w:val="left"/>
            </w:pPr>
            <w:r>
              <w:rPr/>
              <w:t>中山市港口镇综合治理办公室2023-2026年度社区矫正和安置帮教社会工作服务</w:t>
            </w:r>
          </w:p>
        </w:tc>
        <w:tc>
          <w:tcPr>
            <w:tcW w:type="dxa" w:w="933"/>
          </w:tcPr>
          <w:p>
            <w:pPr>
              <w:jc w:val="left"/>
            </w:pPr>
            <w:r>
              <w:rPr/>
              <w:t>项</w:t>
            </w:r>
          </w:p>
        </w:tc>
        <w:tc>
          <w:tcPr>
            <w:tcW w:type="dxa" w:w="933"/>
          </w:tcPr>
          <w:p>
            <w:pPr>
              <w:jc w:val="right"/>
            </w:pPr>
            <w:r>
              <w:rPr/>
              <w:t>1.00</w:t>
            </w:r>
          </w:p>
        </w:tc>
        <w:tc>
          <w:tcPr>
            <w:tcW w:type="dxa" w:w="933"/>
          </w:tcPr>
          <w:p>
            <w:pPr>
              <w:jc w:val="right"/>
            </w:pPr>
            <w:r>
              <w:rPr/>
              <w:t>1,200,000.00</w:t>
            </w:r>
          </w:p>
        </w:tc>
        <w:tc>
          <w:tcPr>
            <w:tcW w:type="dxa" w:w="933"/>
          </w:tcPr>
          <w:p>
            <w:pPr>
              <w:jc w:val="right"/>
            </w:pPr>
            <w:r>
              <w:rPr/>
              <w:t>1,200,000.00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中山市港口镇综合治理办公室2023-2026年度社区矫正和安置帮教社会工作服务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中山市港口镇综合治理办公室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广东省公共资源交易平台（https://ygp.gdzwfw.gov.cn/#/442000/index），采购代理机构网站（http://www.gdjdjl.com/）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洪小姐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港口镇综合治理办公室2023-2026年度社区矫正和安置帮教社会工作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采购包1（中山市港口镇综合治理办公室2023-2026年度社区矫正和安置帮教社会工作服务）：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采购包1（中山市港口镇综合治理办公室2023-2026年度社区矫正和安置帮教社会工作服务）：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投标人填写的《残疾人福利性单位声明函》（见投标格式）为判定标准，监狱企业须投标人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采购包1（中山市港口镇综合治理办公室2023-2026年度社区矫正和安置帮教社会工作服务）：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采购包1(中山市港口镇综合治理办公室2023-2026年度社区矫正和安置帮教社会工作服务):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商务部分23.0分</w:t>
            </w:r>
          </w:p>
          <w:p>
            <w:r>
              <w:rPr/>
              <w:t>技术部分67.0分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对项目的理解程度 (12.0分)</w:t>
            </w:r>
            <w:r>
              <w:rPr/>
              <w:t>，（等次分值选择：</w:t>
            </w:r>
            <w:r>
              <w:rPr/>
              <w:t>0.0;</w:t>
            </w:r>
            <w:r>
              <w:rPr/>
              <w:t>1.0;</w:t>
            </w:r>
            <w:r>
              <w:rPr/>
              <w:t>4.0;</w:t>
            </w:r>
            <w:r>
              <w:rPr/>
              <w:t>8.0;</w:t>
            </w:r>
            <w:r>
              <w:rPr/>
              <w:t>12.0;</w:t>
            </w:r>
            <w:r>
              <w:rPr/>
              <w:t>）</w:t>
            </w:r>
          </w:p>
        </w:tc>
        <w:tc>
          <w:tcPr>
            <w:tcW w:type="dxa" w:w="5076"/>
          </w:tcPr>
          <w:p>
            <w:pPr>
              <w:jc w:val="left"/>
            </w:pPr>
            <w:r>
              <w:rPr/>
              <w:t>投标人对本项目服务群体及对当地的人文环境和村居的了解,项目总目标及成效目标设定，服务响应和工作重点及的评价。 1.投标人对项目的了解透彻,能结合当地的人文环境和村居情况设定合理的项目总目标及成效目标，能回应服务对象的需求并能突出工作重点，得12分； 2.投标人对项目的了解清晰,设定较合理项目总目标及成效目标，能回应服务对象的需求，得8分； 3.投标人对项目的了解模糊,能设定项目总目标及成效目标，得4分； 4.投标人对项目的了解较差，缺乏项目总目标及成效目标，得1分； 5.未提供本部分内容不得分。</w:t>
            </w:r>
          </w:p>
        </w:tc>
      </w:tr>
      <w:tr>
        <w:tc>
          <w:tcPr>
            <w:tcW w:type="dxa" w:w="922"/>
            <w:gridSpan w:val="2"/>
            <w:vMerge/>
          </w:tcPr>
          <w:p/>
        </w:tc>
        <w:tc>
          <w:tcPr>
            <w:tcW w:type="dxa" w:w="2307"/>
          </w:tcPr>
          <w:p>
            <w:pPr>
              <w:jc w:val="left"/>
            </w:pPr>
            <w:r>
              <w:rPr/>
              <w:t>投标人综合情况 (3.0分)</w:t>
            </w:r>
            <w:r>
              <w:rPr/>
              <w:t>，（等次分值选择：</w:t>
            </w:r>
            <w:r>
              <w:rPr/>
              <w:t>0.0;</w:t>
            </w:r>
            <w:r>
              <w:rPr/>
              <w:t>1.0;</w:t>
            </w:r>
            <w:r>
              <w:rPr/>
              <w:t>2.0;</w:t>
            </w:r>
            <w:r>
              <w:rPr/>
              <w:t>3.0;</w:t>
            </w:r>
            <w:r>
              <w:rPr/>
              <w:t>）</w:t>
            </w:r>
          </w:p>
        </w:tc>
        <w:tc>
          <w:tcPr>
            <w:tcW w:type="dxa" w:w="5076"/>
          </w:tcPr>
          <w:p>
            <w:pPr>
              <w:jc w:val="left"/>
            </w:pPr>
            <w:r>
              <w:rPr/>
              <w:t>投标人的综合实力，包括机构历史、团队规模、机构信誉、机构管理和社工行业影响力等。 1.机构经验丰富、团队规模大、机构信誉好、管理科学规范、社工影响力强的，得3分； 2.机构经验较丰富、团队规模较大、机构信誉较好、管理较科学规范、社工影响力较强的，得2分； 3.机构经验较一般、团队规模一般、机构信誉一般、管理一般、社工影响力一般的，得1分； 4.机构经验较少、团队规模较小、机构信誉较差、管理不太科学规范、社工影响力较小的，不得分。</w:t>
            </w:r>
          </w:p>
        </w:tc>
      </w:tr>
      <w:tr>
        <w:tc>
          <w:tcPr>
            <w:tcW w:type="dxa" w:w="922"/>
            <w:gridSpan w:val="2"/>
            <w:vMerge/>
          </w:tcPr>
          <w:p/>
        </w:tc>
        <w:tc>
          <w:tcPr>
            <w:tcW w:type="dxa" w:w="2307"/>
          </w:tcPr>
          <w:p>
            <w:pPr>
              <w:jc w:val="left"/>
            </w:pPr>
            <w:r>
              <w:rPr/>
              <w:t>拟投入本项目人员情况（一） (8.0分)</w:t>
            </w:r>
            <w:r>
              <w:rPr/>
              <w:t>，（等次分值选择：</w:t>
            </w:r>
            <w:r>
              <w:rPr/>
              <w:t>0.0;</w:t>
            </w:r>
            <w:r>
              <w:rPr/>
              <w:t>1.0;</w:t>
            </w:r>
            <w:r>
              <w:rPr/>
              <w:t>4.0;</w:t>
            </w:r>
            <w:r>
              <w:rPr/>
              <w:t>8.0;</w:t>
            </w:r>
            <w:r>
              <w:rPr/>
              <w:t>）</w:t>
            </w:r>
          </w:p>
        </w:tc>
        <w:tc>
          <w:tcPr>
            <w:tcW w:type="dxa" w:w="5076"/>
          </w:tcPr>
          <w:p>
            <w:pPr>
              <w:jc w:val="left"/>
            </w:pPr>
            <w:r>
              <w:rPr/>
              <w:t>对项目负责人的资质、职业资格、服务经验、行业获奖等情况： 1.项目负责人资质高、职业资格高、服务经验丰富、行业获奖多，得8分； 2.项目负责人资质一般、职业资格较低、服务经验较少、行业获奖较少，得4分； 3.项目负责人资质低、职业资格低、缺乏服务经验、没有行业获奖，得1分。 （开标时提供项目人员的学历证书、资格证书、工作经验证明、2023年1月至今任意一个月的社保证明或劳动协议等能证明双方建立劳务关系的证明材料复印件并加盖公章供评审。）</w:t>
            </w:r>
          </w:p>
        </w:tc>
      </w:tr>
      <w:tr>
        <w:tc>
          <w:tcPr>
            <w:tcW w:type="dxa" w:w="922"/>
            <w:gridSpan w:val="2"/>
            <w:vMerge/>
          </w:tcPr>
          <w:p/>
        </w:tc>
        <w:tc>
          <w:tcPr>
            <w:tcW w:type="dxa" w:w="2307"/>
          </w:tcPr>
          <w:p>
            <w:pPr>
              <w:jc w:val="left"/>
            </w:pPr>
            <w:r>
              <w:rPr/>
              <w:t>拟投入本项目人员情况（二） (10.0分)</w:t>
            </w:r>
            <w:r>
              <w:rPr/>
              <w:t>，（等次分值选择：</w:t>
            </w:r>
            <w:r>
              <w:rPr/>
              <w:t>0.0;</w:t>
            </w:r>
            <w:r>
              <w:rPr/>
              <w:t>2.0;</w:t>
            </w:r>
            <w:r>
              <w:rPr/>
              <w:t>6.0;</w:t>
            </w:r>
            <w:r>
              <w:rPr/>
              <w:t>10.0;</w:t>
            </w:r>
            <w:r>
              <w:rPr/>
              <w:t>）</w:t>
            </w:r>
          </w:p>
        </w:tc>
        <w:tc>
          <w:tcPr>
            <w:tcW w:type="dxa" w:w="5076"/>
          </w:tcPr>
          <w:p>
            <w:pPr>
              <w:jc w:val="left"/>
            </w:pPr>
            <w:r>
              <w:rPr/>
              <w:t>投标人拟投入人员的综合服务能力（例如：配备人员的资质、熟练语种、社区矫正和安置帮教服务经验、社工人员服务获奖等）： 1.拟投入人员配置齐全，优于本项目用户需求的人员配置要求，且人员资质高，经验丰富且均能够适应项目所在地及服务对象的语言环境，人员在社矫安帮社工服务领域获奖多，得10分； 2.拟投入人员配置一般满足本项目用户需求的人员配置要求，人员资质一般，经验较少，部分人员能适应项目所在地及服务对象的语言环境，人员在社矫安帮社工服务领域获奖少，得6分； 3.拟投入人员配置不满足本项目用户需求的人员配置要求，人员资质低，缺乏经验，不能适应项目所在地及服务对象的语言环境，人员在社矫安帮社工服务领域没有获奖，得2分。 （开标时提供项目人员的学历证书、资格证书、工作经验证明、2023年1月至今任意一个月的社保证明或劳动协议等能证明双方建立劳务关系的证明材料复印件并加盖公章供评审。）</w:t>
            </w:r>
          </w:p>
        </w:tc>
      </w:tr>
      <w:tr>
        <w:tc>
          <w:tcPr>
            <w:tcW w:type="dxa" w:w="922"/>
            <w:gridSpan w:val="2"/>
            <w:vMerge/>
          </w:tcPr>
          <w:p/>
        </w:tc>
        <w:tc>
          <w:tcPr>
            <w:tcW w:type="dxa" w:w="2307"/>
          </w:tcPr>
          <w:p>
            <w:pPr>
              <w:jc w:val="left"/>
            </w:pPr>
            <w:r>
              <w:rPr/>
              <w:t>服务方案（一） (13.0分)</w:t>
            </w:r>
            <w:r>
              <w:rPr/>
              <w:t>，（等次分值选择：</w:t>
            </w:r>
            <w:r>
              <w:rPr/>
              <w:t>0.0;</w:t>
            </w:r>
            <w:r>
              <w:rPr/>
              <w:t>4.0;</w:t>
            </w:r>
            <w:r>
              <w:rPr/>
              <w:t>7.0;</w:t>
            </w:r>
            <w:r>
              <w:rPr/>
              <w:t>10.0;</w:t>
            </w:r>
            <w:r>
              <w:rPr/>
              <w:t>13.0;</w:t>
            </w:r>
            <w:r>
              <w:rPr/>
              <w:t>）</w:t>
            </w:r>
          </w:p>
        </w:tc>
        <w:tc>
          <w:tcPr>
            <w:tcW w:type="dxa" w:w="5076"/>
          </w:tcPr>
          <w:p>
            <w:pPr>
              <w:jc w:val="left"/>
            </w:pPr>
            <w:r>
              <w:rPr/>
              <w:t>投标人的服务目标、工作内容及工作时数、活动项目种类、服务次数等。 1.投标人有详细的工作计划、阶段细化目标和服务目标，能提供充分性、创新性、合理性和可行性的计划，活动项目种类、服务次数多，得13分； 2.投标人有较为详细的工作计划、阶段细化目标和服务指标，能提供较为充分性、创新性、合理性和可行性的计划，活动项目种类、服务次数较多，得10分； 3.投标人有工作计划、阶段细化目标和服务指标的，活动项目种类、服务次数较少，得7分； 4.投标人工作计划、阶段细化目标和服务指标较差，得4分； 5.未提供本部分内容不得分。</w:t>
            </w:r>
          </w:p>
        </w:tc>
      </w:tr>
      <w:tr>
        <w:tc>
          <w:tcPr>
            <w:tcW w:type="dxa" w:w="922"/>
            <w:gridSpan w:val="2"/>
            <w:vMerge/>
          </w:tcPr>
          <w:p/>
        </w:tc>
        <w:tc>
          <w:tcPr>
            <w:tcW w:type="dxa" w:w="2307"/>
          </w:tcPr>
          <w:p>
            <w:pPr>
              <w:jc w:val="left"/>
            </w:pPr>
            <w:r>
              <w:rPr/>
              <w:t>服务方案（二） (8.0分)</w:t>
            </w:r>
            <w:r>
              <w:rPr/>
              <w:t>，（等次分值选择：</w:t>
            </w:r>
            <w:r>
              <w:rPr/>
              <w:t>0.0;</w:t>
            </w:r>
            <w:r>
              <w:rPr/>
              <w:t>2.0;</w:t>
            </w:r>
            <w:r>
              <w:rPr/>
              <w:t>5.0;</w:t>
            </w:r>
            <w:r>
              <w:rPr/>
              <w:t>8.0;</w:t>
            </w:r>
            <w:r>
              <w:rPr/>
              <w:t>）</w:t>
            </w:r>
          </w:p>
        </w:tc>
        <w:tc>
          <w:tcPr>
            <w:tcW w:type="dxa" w:w="5076"/>
          </w:tcPr>
          <w:p>
            <w:pPr>
              <w:jc w:val="left"/>
            </w:pPr>
            <w:r>
              <w:rPr/>
              <w:t>投标人服务方案的基本体系、经费使用情况分配、监管制度、人员构成方案等。 1.投标人具有健全的服务方案基本体系，经费使用情况分配合理、监管制度清晰，人员构成方案十分合理，得8分； 2.投标人具有服务方案基本体系、经费使用情况分、监管制度、人员构成方案一般，得5分； 3.投标人服务方案、经费使用情况分、监管制度、人员构成方案较差，得2分； 4.未提供本部分内容不得分。</w:t>
            </w:r>
          </w:p>
        </w:tc>
      </w:tr>
      <w:tr>
        <w:tc>
          <w:tcPr>
            <w:tcW w:type="dxa" w:w="922"/>
            <w:gridSpan w:val="2"/>
            <w:vMerge/>
          </w:tcPr>
          <w:p/>
        </w:tc>
        <w:tc>
          <w:tcPr>
            <w:tcW w:type="dxa" w:w="2307"/>
          </w:tcPr>
          <w:p>
            <w:pPr>
              <w:jc w:val="left"/>
            </w:pPr>
            <w:r>
              <w:rPr/>
              <w:t>履约能力 (5.0分)</w:t>
            </w:r>
            <w:r>
              <w:rPr/>
              <w:t>，（等次分值选择：</w:t>
            </w:r>
            <w:r>
              <w:rPr/>
              <w:t>0.0;</w:t>
            </w:r>
            <w:r>
              <w:rPr/>
              <w:t>2.0;</w:t>
            </w:r>
            <w:r>
              <w:rPr/>
              <w:t>3.0;</w:t>
            </w:r>
            <w:r>
              <w:rPr/>
              <w:t>5.0;</w:t>
            </w:r>
            <w:r>
              <w:rPr/>
              <w:t>）</w:t>
            </w:r>
          </w:p>
        </w:tc>
        <w:tc>
          <w:tcPr>
            <w:tcW w:type="dxa" w:w="5076"/>
          </w:tcPr>
          <w:p>
            <w:pPr>
              <w:jc w:val="left"/>
            </w:pPr>
            <w:r>
              <w:rPr/>
              <w:t>投标人社矫安帮服务及对辖区社会资源的综合整合能力情况。 1.投标人具有十分健全的社矫安帮服务标准化体系和服务质量管理体系，辖区社会资源的综合整合及对项目的资源投入、义工的发展能力十分强，得5分； 2.投标人具有社矫安帮服务标准化体系和服务质量管理体系，辖区社会资源的综合整合及对项目的资源投入、义工的发展能力一般，得3分； 3.投标人的社矫安帮服务标准化体系和服务质量管理体系不健全，辖区社会资源的综合整合及对项目的资源投入、义工的发展能力较差，得2分； 4.未提供本部分内容不得分。</w:t>
            </w:r>
          </w:p>
        </w:tc>
      </w:tr>
      <w:tr>
        <w:tc>
          <w:tcPr>
            <w:tcW w:type="dxa" w:w="922"/>
            <w:gridSpan w:val="2"/>
            <w:vMerge/>
          </w:tcPr>
          <w:p/>
        </w:tc>
        <w:tc>
          <w:tcPr>
            <w:tcW w:type="dxa" w:w="2307"/>
          </w:tcPr>
          <w:p>
            <w:pPr>
              <w:jc w:val="left"/>
            </w:pPr>
            <w:r>
              <w:rPr/>
              <w:t>后续服务保障 (8.0分)</w:t>
            </w:r>
            <w:r>
              <w:rPr/>
              <w:t>，（等次分值选择：</w:t>
            </w:r>
            <w:r>
              <w:rPr/>
              <w:t>0.0;</w:t>
            </w:r>
            <w:r>
              <w:rPr/>
              <w:t>2.0;</w:t>
            </w:r>
            <w:r>
              <w:rPr/>
              <w:t>5.0;</w:t>
            </w:r>
            <w:r>
              <w:rPr/>
              <w:t>8.0;</w:t>
            </w:r>
            <w:r>
              <w:rPr/>
              <w:t>）</w:t>
            </w:r>
          </w:p>
        </w:tc>
        <w:tc>
          <w:tcPr>
            <w:tcW w:type="dxa" w:w="5076"/>
          </w:tcPr>
          <w:p>
            <w:pPr>
              <w:jc w:val="left"/>
            </w:pPr>
            <w:r>
              <w:rPr/>
              <w:t>根据各投标人的服务便利性、响应时间、服务支撑方案情况。 1.投标人设置的服务机构十分便利，响应时间十分及时，服务非常便捷，针对本项目良好运作的相关保障机制（具备突发事件应急机制）十分详细合理，可实现度高，得8分； 2.投标人设置的服务机构及响应时间一般，针对本项目良好运作的相关保障机制（具备突发事件应急机制）可实现度不高，得5分； 3.投标人设置的服务机构及响应时间慢，未提供相关保障机制（具备突发事件应急机制），得2分； 4.未提供本部分内容不得分。</w:t>
            </w:r>
          </w:p>
        </w:tc>
      </w:tr>
      <w:tr>
        <w:tc>
          <w:tcPr>
            <w:tcW w:type="dxa" w:w="922"/>
            <w:gridSpan w:val="2"/>
            <w:vMerge w:val="restart"/>
          </w:tcPr>
          <w:p>
            <w:pPr>
              <w:jc w:val="center"/>
            </w:pPr>
            <w:r>
              <w:rPr/>
              <w:t>商务部分</w:t>
            </w:r>
          </w:p>
        </w:tc>
        <w:tc>
          <w:tcPr>
            <w:tcW w:type="dxa" w:w="2307"/>
          </w:tcPr>
          <w:p>
            <w:pPr>
              <w:jc w:val="left"/>
            </w:pPr>
            <w:r>
              <w:rPr/>
              <w:t>综合实力 (5.0分)</w:t>
            </w:r>
          </w:p>
        </w:tc>
        <w:tc>
          <w:tcPr>
            <w:tcW w:type="dxa" w:w="5076"/>
          </w:tcPr>
          <w:p>
            <w:pPr>
              <w:jc w:val="left"/>
            </w:pPr>
            <w:r>
              <w:rPr/>
              <w:t>投标人曾获司法相关部门颁发的镇街级或者区县级及以上社区矫正或安置帮教工作荣誉的，得5分。（提供相关证书材料复印件加盖公章）。</w:t>
            </w:r>
          </w:p>
        </w:tc>
      </w:tr>
      <w:tr>
        <w:tc>
          <w:tcPr>
            <w:tcW w:type="dxa" w:w="922"/>
            <w:gridSpan w:val="2"/>
            <w:vMerge/>
          </w:tcPr>
          <w:p/>
        </w:tc>
        <w:tc>
          <w:tcPr>
            <w:tcW w:type="dxa" w:w="2307"/>
          </w:tcPr>
          <w:p>
            <w:pPr>
              <w:jc w:val="left"/>
            </w:pPr>
            <w:r>
              <w:rPr/>
              <w:t>业绩 (10.0分)</w:t>
            </w:r>
          </w:p>
        </w:tc>
        <w:tc>
          <w:tcPr>
            <w:tcW w:type="dxa" w:w="5076"/>
          </w:tcPr>
          <w:p>
            <w:pPr>
              <w:jc w:val="left"/>
            </w:pPr>
            <w:r>
              <w:rPr/>
              <w:t>投标人2020年以来承接矫正和安置帮教服务项目情况，每提供一个合同得1分，满分10分。（以合同签订时间为准，投标文件中提供合同复印件加盖公章）。</w:t>
            </w:r>
          </w:p>
        </w:tc>
      </w:tr>
      <w:tr>
        <w:tc>
          <w:tcPr>
            <w:tcW w:type="dxa" w:w="922"/>
            <w:gridSpan w:val="2"/>
            <w:vMerge/>
          </w:tcPr>
          <w:p/>
        </w:tc>
        <w:tc>
          <w:tcPr>
            <w:tcW w:type="dxa" w:w="2307"/>
          </w:tcPr>
          <w:p>
            <w:pPr>
              <w:jc w:val="left"/>
            </w:pPr>
            <w:r>
              <w:rPr/>
              <w:t>用户评价 (8.0分)</w:t>
            </w:r>
          </w:p>
        </w:tc>
        <w:tc>
          <w:tcPr>
            <w:tcW w:type="dxa" w:w="5076"/>
          </w:tcPr>
          <w:p>
            <w:pPr>
              <w:jc w:val="left"/>
            </w:pPr>
            <w:r>
              <w:rPr/>
              <w:t>2020年以来同类项目的评价或终期评估报告：业主方评价为优秀或满意(意思相近的评价)，或终期评估获得优秀或满意(意思相近的评价)的，每个得1分，其它不得分。本项累计最高得8分。 备注：提供具有业主方公章的评价证明及项目合同同关键页复印件或具备评估资质的第三方评估机构出具的评估报告及项目合同关键页复印件，并加盖公章，资料不齐不得分。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442000108-2023-00342</w:t>
      </w:r>
    </w:p>
    <w:p>
      <w:pPr>
        <w:jc w:val="center"/>
      </w:pPr>
      <w:r>
        <w:rPr>
          <w:b/>
          <w:sz w:val="24"/>
        </w:rPr>
        <w:t>采购项目编号：</w:t>
      </w:r>
      <w:r>
        <w:rPr>
          <w:b/>
          <w:sz w:val="24"/>
        </w:rPr>
        <w:t>ZSJD23ZC0099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中山市港口镇综合治理办公室2023-2026年度社区矫正和安置帮教社会工作服务</w:t>
      </w:r>
      <w:r>
        <w:rPr>
          <w:u w:val="single"/>
        </w:rPr>
        <w:t>”</w:t>
      </w:r>
      <w:r>
        <w:rPr/>
        <w:t>项目的招标[采购项目编号为：</w:t>
      </w:r>
      <w:r>
        <w:rPr>
          <w:u w:val="single"/>
        </w:rPr>
        <w:t>ZSJD23ZC0099</w:t>
      </w:r>
      <w:r>
        <w:rPr/>
        <w:t>]，我方愿参与投标。</w:t>
      </w:r>
    </w:p>
    <w:p>
      <w:pPr>
        <w:ind w:firstLine="480"/>
      </w:pPr>
      <w:r>
        <w:rPr/>
        <w:t>我方确认收到贵方提供的</w:t>
      </w:r>
      <w:r>
        <w:rPr>
          <w:u w:val="single"/>
        </w:rPr>
        <w:t>“</w:t>
      </w:r>
      <w:r>
        <w:rPr>
          <w:u w:val="single"/>
        </w:rPr>
        <w:t>中山市港口镇综合治理办公室2023-2026年度社区矫正和安置帮教社会工作服务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中山市港口镇综合治理办公室2023-2026年度社区矫正和安置帮教社会工作服务</w:t>
      </w:r>
      <w:r>
        <w:rPr/>
        <w:t>”项目采购[采购项目编号为</w:t>
      </w:r>
      <w:r>
        <w:rPr/>
        <w:t>ZSJD23ZC0099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中山市港口镇综合治理办公室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中山市港口镇综合治理办公室2023-2026年度社区矫正和安置帮教社会工作服务</w:t>
      </w:r>
      <w:r>
        <w:rPr/>
        <w:t>招标中获中标（采购项目编号：</w:t>
      </w:r>
      <w:r>
        <w:rPr/>
        <w:t>ZSJD23ZC0099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中山市港口镇综合治理办公室2023-2026年度社区矫正和安置帮教社会工作服务</w:t>
      </w:r>
      <w:r>
        <w:rPr/>
        <w:t>”项目（采购项目编号：</w:t>
      </w:r>
      <w:r>
        <w:rPr/>
        <w:t>ZSJD23ZC0099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