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442000-2022-04895</w:t>
      </w:r>
    </w:p>
    <w:p>
      <w:pPr>
        <w:jc w:val="center"/>
      </w:pPr>
      <w:r>
        <w:rPr>
          <w:b/>
          <w:sz w:val="24"/>
        </w:rPr>
        <w:t>采购项目编号：</w:t>
      </w:r>
      <w:r>
        <w:rPr>
          <w:b/>
          <w:sz w:val="24"/>
        </w:rPr>
        <w:t>ZSJD22ZC0096</w:t>
      </w:r>
    </w:p>
    <w:p>
      <w:pPr>
        <w:jc w:val="center"/>
      </w:pPr>
      <w:r>
        <w:rPr>
          <w:b/>
          <w:sz w:val="24"/>
        </w:rPr>
        <w:t>项目名称：</w:t>
      </w:r>
      <w:r>
        <w:rPr>
          <w:b/>
          <w:sz w:val="24"/>
        </w:rPr>
        <w:t>中山市华侨中学高中部二期扩建工程项目之工器具采购项目（包一）</w:t>
      </w:r>
    </w:p>
    <w:p>
      <w:pPr>
        <w:jc w:val="center"/>
      </w:pPr>
      <w:r>
        <w:rPr>
          <w:b/>
          <w:sz w:val="24"/>
        </w:rPr>
        <w:t>采购人：</w:t>
      </w:r>
      <w:r>
        <w:rPr>
          <w:b/>
          <w:sz w:val="24"/>
        </w:rPr>
        <w:t>中山市华侨中学</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中山市华侨中学</w:t>
      </w:r>
      <w:r>
        <w:rPr/>
        <w:t>的委托，采用</w:t>
      </w:r>
      <w:r>
        <w:rPr/>
        <w:t>公开招标</w:t>
      </w:r>
      <w:r>
        <w:rPr/>
        <w:t>方式组织采购</w:t>
      </w:r>
      <w:r>
        <w:rPr/>
        <w:t>中山市华侨中学高中部二期扩建工程项目之工器具采购项目（包一）</w:t>
      </w:r>
      <w:r>
        <w:rPr/>
        <w:t>。欢迎符合资格条件的国内供应商参加投标。</w:t>
      </w:r>
    </w:p>
    <w:p>
      <w:r>
        <w:rPr>
          <w:b/>
          <w:sz w:val="28"/>
        </w:rPr>
        <w:t>一.项目概述</w:t>
      </w:r>
    </w:p>
    <w:p>
      <w:r>
        <w:rPr>
          <w:b/>
          <w:sz w:val="24"/>
        </w:rPr>
        <w:t>1.名称与编号</w:t>
      </w:r>
    </w:p>
    <w:p>
      <w:pPr>
        <w:ind w:firstLine="480"/>
      </w:pPr>
      <w:r>
        <w:rPr/>
        <w:t>项目名称：</w:t>
      </w:r>
      <w:r>
        <w:rPr/>
        <w:t>中山市华侨中学高中部二期扩建工程项目之工器具采购项目（包一）</w:t>
      </w:r>
    </w:p>
    <w:p>
      <w:pPr>
        <w:ind w:firstLine="480"/>
      </w:pPr>
      <w:r>
        <w:rPr/>
        <w:t>采购计划编号：</w:t>
      </w:r>
      <w:r>
        <w:rPr/>
        <w:t>442000-2022-04895</w:t>
      </w:r>
    </w:p>
    <w:p>
      <w:pPr>
        <w:ind w:firstLine="480"/>
      </w:pPr>
      <w:r>
        <w:rPr/>
        <w:t>采购项目编号：</w:t>
      </w:r>
      <w:r>
        <w:rPr/>
        <w:t>ZSJD22ZC0096</w:t>
      </w:r>
    </w:p>
    <w:p>
      <w:pPr>
        <w:ind w:firstLine="480"/>
      </w:pPr>
      <w:r>
        <w:rPr/>
        <w:t>采购方式：</w:t>
      </w:r>
      <w:r>
        <w:rPr/>
        <w:t>公开招标</w:t>
      </w:r>
    </w:p>
    <w:p>
      <w:pPr>
        <w:ind w:firstLine="480"/>
      </w:pPr>
      <w:r>
        <w:rPr/>
        <w:t>预算金额：</w:t>
      </w:r>
      <w:r>
        <w:rPr/>
        <w:t>24,449,865.50</w:t>
      </w:r>
      <w:r>
        <w:rPr/>
        <w:t>元</w:t>
      </w:r>
    </w:p>
    <w:p>
      <w:r>
        <w:rPr>
          <w:b/>
          <w:sz w:val="24"/>
        </w:rPr>
        <w:t>2.项目内容及需求情况（采购项目技术规格、参数及要求）</w:t>
      </w:r>
    </w:p>
    <w:p>
      <w:pPr>
        <w:ind w:firstLine="480"/>
      </w:pPr>
    </w:p>
    <w:p/>
    <w:p>
      <w:r>
        <w:rPr/>
        <w:t>采购包1(中山市华侨中学高中部二期扩建工程项目之工器具采购项目（包一）):</w:t>
      </w:r>
    </w:p>
    <w:p>
      <w:r>
        <w:rPr/>
        <w:t>采购包预算金额：24,449,865.50元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教学专用仪器</w:t>
            </w:r>
          </w:p>
        </w:tc>
        <w:tc>
          <w:tcPr>
            <w:tcW w:type="dxa" w:w="2136"/>
          </w:tcPr>
          <w:p>
            <w:r>
              <w:rPr/>
              <w:t>中山市华侨中学高中部二期扩建工程项目之工器具采购项目（包一）</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教学专用仪器</w:t>
            </w:r>
          </w:p>
        </w:tc>
        <w:tc>
          <w:tcPr>
            <w:tcW w:type="dxa" w:w="2136"/>
          </w:tcPr>
          <w:p>
            <w:r>
              <w:rPr/>
              <w:t>化学万向通风实验室——学生实验桌</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签订合同后45个日历日内中标人把建设所需货物送至采购人指定地点并完成建设任务（包括优化设计、供货、安装、调试等工作）并通过采购人验收，验收合格后于30日历日内组织采购人相关使用老师进行系统性操作培训。</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3）具有良好的商业信誉和健全的财务会计制度：供应商必须具有良好的商业信誉和健全的财务会计制度（提供2020年度财务状况报告或2021年度财务状况报告或基本开户行出具的资信证明）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采购包1（中山市华侨中学高中部二期扩建工程项目之工器具采购项目（包一））：</w:t>
      </w:r>
      <w:r>
        <w:rPr/>
        <w:t>无</w:t>
      </w:r>
    </w:p>
    <w:p/>
    <w:p>
      <w:r>
        <w:rPr>
          <w:b/>
          <w:sz w:val="24"/>
        </w:rPr>
        <w:t>3.本项目特定的资格要求：</w:t>
      </w:r>
    </w:p>
    <w:p>
      <w:pPr>
        <w:ind w:firstLine="480"/>
      </w:pPr>
    </w:p>
    <w:p/>
    <w:p>
      <w:r>
        <w:rPr/>
        <w:t>采购包1（中山市华侨中学高中部二期扩建工程项目之工器具采购项目（包一））：</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中山市华侨中学</w:t>
      </w:r>
    </w:p>
    <w:p>
      <w:pPr>
        <w:ind w:firstLine="480"/>
      </w:pPr>
      <w:r>
        <w:rPr/>
        <w:t>地址：</w:t>
      </w:r>
      <w:r>
        <w:rPr/>
        <w:t>中山市石岐区大沙南路13号</w:t>
      </w:r>
    </w:p>
    <w:p>
      <w:pPr>
        <w:ind w:firstLine="480"/>
      </w:pPr>
      <w:r>
        <w:rPr/>
        <w:t>联系方式：</w:t>
      </w:r>
      <w:r>
        <w:rPr/>
        <w:t>076088722655</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李先生</w:t>
      </w:r>
    </w:p>
    <w:p>
      <w:pPr>
        <w:ind w:firstLine="480"/>
      </w:pPr>
      <w:r>
        <w:rPr/>
        <w:t>电话：</w:t>
      </w:r>
      <w:r>
        <w:rPr/>
        <w:t>0760-88399895</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8"/>
        </w:rPr>
        <w:t>一、项目概况：</w:t>
      </w:r>
    </w:p>
    <w:p>
      <w:pPr>
        <w:ind w:firstLine="480"/>
        <w:jc w:val="both"/>
      </w:pPr>
    </w:p>
    <w:p>
      <w:pPr>
        <w:jc w:val="both"/>
      </w:pPr>
    </w:p>
    <w:p>
      <w:pPr>
        <w:ind w:firstLine="421"/>
        <w:jc w:val="both"/>
      </w:pPr>
      <w:r>
        <w:rPr>
          <w:b/>
          <w:sz w:val="21"/>
        </w:rPr>
        <w:t>（一）基本信息</w:t>
      </w:r>
    </w:p>
    <w:p>
      <w:pPr>
        <w:ind w:firstLine="420"/>
        <w:jc w:val="both"/>
      </w:pPr>
      <w:r>
        <w:rPr>
          <w:sz w:val="21"/>
        </w:rPr>
        <w:t>1.</w:t>
      </w:r>
      <w:r>
        <w:rPr>
          <w:sz w:val="21"/>
        </w:rPr>
        <w:t>项目名称：</w:t>
      </w:r>
      <w:r>
        <w:rPr>
          <w:sz w:val="21"/>
        </w:rPr>
        <w:t>中山市华侨中学高中部二期扩建工程项目之工器具采购项目（包一）</w:t>
      </w:r>
    </w:p>
    <w:p>
      <w:pPr>
        <w:ind w:firstLine="420"/>
        <w:jc w:val="left"/>
      </w:pPr>
      <w:r>
        <w:rPr>
          <w:sz w:val="21"/>
        </w:rPr>
        <w:t>2.</w:t>
      </w:r>
      <w:r>
        <w:rPr>
          <w:sz w:val="21"/>
        </w:rPr>
        <w:t>项目编号：</w:t>
      </w:r>
      <w:r>
        <w:rPr>
          <w:sz w:val="21"/>
        </w:rPr>
        <w:t>ZSJD22ZC0096</w:t>
      </w:r>
    </w:p>
    <w:p>
      <w:pPr>
        <w:ind w:firstLine="420"/>
        <w:jc w:val="both"/>
      </w:pPr>
      <w:r>
        <w:rPr>
          <w:sz w:val="21"/>
        </w:rPr>
        <w:t>3</w:t>
      </w:r>
      <w:r>
        <w:rPr>
          <w:sz w:val="21"/>
        </w:rPr>
        <w:t>.</w:t>
      </w:r>
      <w:r>
        <w:rPr>
          <w:sz w:val="21"/>
        </w:rPr>
        <w:t>项目属性：货物类</w:t>
      </w:r>
    </w:p>
    <w:p>
      <w:pPr>
        <w:ind w:firstLine="420"/>
        <w:jc w:val="both"/>
      </w:pPr>
      <w:r>
        <w:rPr>
          <w:sz w:val="21"/>
        </w:rPr>
        <w:t>4</w:t>
      </w:r>
      <w:r>
        <w:rPr>
          <w:sz w:val="21"/>
        </w:rPr>
        <w:t>.</w:t>
      </w:r>
      <w:r>
        <w:rPr>
          <w:sz w:val="21"/>
        </w:rPr>
        <w:t>本项目所有采购包对应的中小微企业划分标准所属行业为：</w:t>
      </w:r>
      <w:r>
        <w:rPr>
          <w:sz w:val="21"/>
          <w:u w:val="single"/>
        </w:rPr>
        <w:t>工业</w:t>
      </w:r>
      <w:r>
        <w:rPr>
          <w:sz w:val="21"/>
        </w:rPr>
        <w:t>。</w:t>
      </w:r>
    </w:p>
    <w:p>
      <w:pPr>
        <w:ind w:firstLine="420"/>
        <w:jc w:val="both"/>
      </w:pPr>
      <w:r>
        <w:rPr>
          <w:sz w:val="21"/>
        </w:rPr>
        <w:t>5</w:t>
      </w:r>
      <w:r>
        <w:rPr>
          <w:sz w:val="21"/>
        </w:rPr>
        <w:t>.</w:t>
      </w:r>
      <w:r>
        <w:rPr>
          <w:sz w:val="21"/>
        </w:rPr>
        <w:t>以下条款需要填入《技术和服务要求响应表》：</w:t>
      </w:r>
    </w:p>
    <w:p>
      <w:pPr>
        <w:ind w:firstLine="420"/>
        <w:jc w:val="both"/>
      </w:pPr>
      <w:r>
        <w:rPr>
          <w:sz w:val="21"/>
        </w:rPr>
        <w:t>（</w:t>
      </w:r>
      <w:r>
        <w:rPr>
          <w:sz w:val="21"/>
        </w:rPr>
        <w:t>1</w:t>
      </w:r>
      <w:r>
        <w:rPr>
          <w:sz w:val="21"/>
        </w:rPr>
        <w:t>）采购需求中标记</w:t>
      </w:r>
      <w:r>
        <w:rPr>
          <w:sz w:val="21"/>
        </w:rPr>
        <w:t>“★”</w:t>
      </w:r>
      <w:r>
        <w:rPr>
          <w:sz w:val="21"/>
        </w:rPr>
        <w:t>的条款（简称</w:t>
      </w:r>
      <w:r>
        <w:rPr>
          <w:sz w:val="21"/>
        </w:rPr>
        <w:t>★</w:t>
      </w:r>
      <w:r>
        <w:rPr>
          <w:sz w:val="21"/>
        </w:rPr>
        <w:t>条款）；</w:t>
      </w:r>
    </w:p>
    <w:p>
      <w:pPr>
        <w:ind w:firstLine="420"/>
        <w:jc w:val="both"/>
      </w:pPr>
      <w:r>
        <w:rPr>
          <w:sz w:val="21"/>
        </w:rPr>
        <w:t>（</w:t>
      </w:r>
      <w:r>
        <w:rPr>
          <w:sz w:val="21"/>
        </w:rPr>
        <w:t>2</w:t>
      </w:r>
      <w:r>
        <w:rPr>
          <w:sz w:val="21"/>
        </w:rPr>
        <w:t>）采购需求中</w:t>
      </w:r>
      <w:r>
        <w:rPr>
          <w:sz w:val="21"/>
        </w:rPr>
        <w:t>“</w:t>
      </w:r>
      <w:r>
        <w:rPr>
          <w:sz w:val="21"/>
        </w:rPr>
        <w:t>五、采购包采购清单明细及其技术参数要求</w:t>
      </w:r>
      <w:r>
        <w:rPr>
          <w:sz w:val="21"/>
        </w:rPr>
        <w:t>”</w:t>
      </w:r>
      <w:r>
        <w:rPr>
          <w:sz w:val="21"/>
        </w:rPr>
        <w:t>中标记</w:t>
      </w:r>
      <w:r>
        <w:rPr>
          <w:sz w:val="21"/>
        </w:rPr>
        <w:t>“▲”</w:t>
      </w:r>
      <w:r>
        <w:rPr>
          <w:sz w:val="21"/>
        </w:rPr>
        <w:t>的条款（简称</w:t>
      </w:r>
      <w:r>
        <w:rPr>
          <w:sz w:val="21"/>
        </w:rPr>
        <w:t>▲</w:t>
      </w:r>
      <w:r>
        <w:rPr>
          <w:sz w:val="21"/>
        </w:rPr>
        <w:t>条款）；</w:t>
      </w:r>
    </w:p>
    <w:p>
      <w:pPr>
        <w:ind w:firstLine="420"/>
        <w:jc w:val="both"/>
      </w:pPr>
      <w:r>
        <w:rPr>
          <w:sz w:val="21"/>
        </w:rPr>
        <w:t>（</w:t>
      </w:r>
      <w:r>
        <w:rPr>
          <w:sz w:val="21"/>
        </w:rPr>
        <w:t>3</w:t>
      </w:r>
      <w:r>
        <w:rPr>
          <w:sz w:val="21"/>
        </w:rPr>
        <w:t>）采购需求中</w:t>
      </w:r>
      <w:r>
        <w:rPr>
          <w:sz w:val="21"/>
        </w:rPr>
        <w:t>“</w:t>
      </w:r>
      <w:r>
        <w:rPr>
          <w:sz w:val="21"/>
        </w:rPr>
        <w:t>五、采购包采购清单明细及其技术参数要求</w:t>
      </w:r>
      <w:r>
        <w:rPr>
          <w:sz w:val="21"/>
        </w:rPr>
        <w:t>”</w:t>
      </w:r>
      <w:r>
        <w:rPr>
          <w:sz w:val="21"/>
        </w:rPr>
        <w:t>中没有标记的条款（即未标记</w:t>
      </w:r>
      <w:r>
        <w:rPr>
          <w:sz w:val="21"/>
        </w:rPr>
        <w:t>“▲”</w:t>
      </w:r>
      <w:r>
        <w:rPr>
          <w:sz w:val="21"/>
        </w:rPr>
        <w:t>和</w:t>
      </w:r>
      <w:r>
        <w:rPr>
          <w:sz w:val="21"/>
        </w:rPr>
        <w:t>“★”</w:t>
      </w:r>
      <w:r>
        <w:rPr>
          <w:sz w:val="21"/>
        </w:rPr>
        <w:t>的条款，简称一般条款）。</w:t>
      </w:r>
    </w:p>
    <w:p>
      <w:pPr>
        <w:ind w:firstLine="420"/>
        <w:jc w:val="both"/>
      </w:pPr>
      <w:r>
        <w:rPr>
          <w:sz w:val="21"/>
        </w:rPr>
        <w:t>注</w:t>
      </w:r>
      <w:r>
        <w:rPr>
          <w:sz w:val="21"/>
        </w:rPr>
        <w:t>1</w:t>
      </w:r>
      <w:r>
        <w:rPr>
          <w:sz w:val="21"/>
        </w:rPr>
        <w:t>：</w:t>
      </w:r>
      <w:r>
        <w:rPr>
          <w:sz w:val="21"/>
        </w:rPr>
        <w:t>★</w:t>
      </w:r>
      <w:r>
        <w:rPr>
          <w:sz w:val="21"/>
        </w:rPr>
        <w:t>条款和</w:t>
      </w:r>
      <w:r>
        <w:rPr>
          <w:sz w:val="21"/>
        </w:rPr>
        <w:t>▲</w:t>
      </w:r>
      <w:r>
        <w:rPr>
          <w:sz w:val="21"/>
        </w:rPr>
        <w:t>条款需要逐条按照《技术和服务要求响应表》及表格下方</w:t>
      </w:r>
      <w:r>
        <w:rPr>
          <w:sz w:val="21"/>
        </w:rPr>
        <w:t>“</w:t>
      </w:r>
      <w:r>
        <w:rPr>
          <w:sz w:val="21"/>
        </w:rPr>
        <w:t>说明</w:t>
      </w:r>
      <w:r>
        <w:rPr>
          <w:sz w:val="21"/>
        </w:rPr>
        <w:t>”</w:t>
      </w:r>
      <w:r>
        <w:rPr>
          <w:sz w:val="21"/>
        </w:rPr>
        <w:t>的要求填写（有效响应的应填写</w:t>
      </w:r>
      <w:r>
        <w:rPr>
          <w:sz w:val="21"/>
        </w:rPr>
        <w:t>“</w:t>
      </w:r>
      <w:r>
        <w:rPr>
          <w:sz w:val="21"/>
        </w:rPr>
        <w:t>正偏离</w:t>
      </w:r>
      <w:r>
        <w:rPr>
          <w:sz w:val="21"/>
        </w:rPr>
        <w:t>”</w:t>
      </w:r>
      <w:r>
        <w:rPr>
          <w:sz w:val="21"/>
        </w:rPr>
        <w:t>或</w:t>
      </w:r>
      <w:r>
        <w:rPr>
          <w:sz w:val="21"/>
        </w:rPr>
        <w:t>“</w:t>
      </w:r>
      <w:r>
        <w:rPr>
          <w:sz w:val="21"/>
        </w:rPr>
        <w:t>无偏离</w:t>
      </w:r>
      <w:r>
        <w:rPr>
          <w:sz w:val="21"/>
        </w:rPr>
        <w:t>”</w:t>
      </w:r>
      <w:r>
        <w:rPr>
          <w:sz w:val="21"/>
        </w:rPr>
        <w:t>）</w:t>
      </w:r>
      <w:r>
        <w:rPr>
          <w:sz w:val="21"/>
        </w:rPr>
        <w:t>,</w:t>
      </w:r>
      <w:r>
        <w:rPr>
          <w:sz w:val="21"/>
        </w:rPr>
        <w:t>不按规定填写视为不响应。</w:t>
      </w:r>
      <w:r>
        <w:rPr>
          <w:sz w:val="21"/>
        </w:rPr>
        <w:t>★</w:t>
      </w:r>
      <w:r>
        <w:rPr>
          <w:sz w:val="21"/>
        </w:rPr>
        <w:t>条款不响应的按无效投标处理，</w:t>
      </w:r>
      <w:r>
        <w:rPr>
          <w:sz w:val="21"/>
        </w:rPr>
        <w:t>▲</w:t>
      </w:r>
      <w:r>
        <w:rPr>
          <w:sz w:val="21"/>
        </w:rPr>
        <w:t>条款及一般条款不响应的将影响得分。</w:t>
      </w:r>
    </w:p>
    <w:p>
      <w:pPr>
        <w:ind w:firstLine="420"/>
        <w:jc w:val="both"/>
      </w:pPr>
      <w:r>
        <w:rPr>
          <w:sz w:val="21"/>
        </w:rPr>
        <w:t>注</w:t>
      </w:r>
      <w:r>
        <w:rPr>
          <w:sz w:val="21"/>
        </w:rPr>
        <w:t>2</w:t>
      </w:r>
      <w:r>
        <w:rPr>
          <w:sz w:val="21"/>
        </w:rPr>
        <w:t>：一般条款无需逐条填入《技术和服务要求响应表》，仅需将</w:t>
      </w:r>
      <w:r>
        <w:rPr>
          <w:sz w:val="21"/>
        </w:rPr>
        <w:t>“</w:t>
      </w:r>
      <w:r>
        <w:rPr>
          <w:sz w:val="21"/>
        </w:rPr>
        <w:t>负偏离</w:t>
      </w:r>
      <w:r>
        <w:rPr>
          <w:sz w:val="21"/>
        </w:rPr>
        <w:t>”</w:t>
      </w:r>
      <w:r>
        <w:rPr>
          <w:sz w:val="21"/>
        </w:rPr>
        <w:t>的条款按要求填入《技术和服务要求响应表》，其他未填入《技术和服务要求响应表》的一般条款将默认投标人响应（无偏离），投标人中标后应严格按响应条款执行，投标人应谨慎填写。</w:t>
      </w:r>
    </w:p>
    <w:p>
      <w:pPr>
        <w:ind w:firstLine="420"/>
        <w:jc w:val="both"/>
      </w:pPr>
      <w:r>
        <w:rPr>
          <w:sz w:val="21"/>
        </w:rPr>
        <w:t>注</w:t>
      </w:r>
      <w:r>
        <w:rPr>
          <w:sz w:val="21"/>
        </w:rPr>
        <w:t>3</w:t>
      </w:r>
      <w:r>
        <w:rPr>
          <w:sz w:val="21"/>
        </w:rPr>
        <w:t>：为方便评标委员会高效评审，建议投标人分类填写以上三种条款（即将</w:t>
      </w:r>
      <w:r>
        <w:rPr>
          <w:sz w:val="21"/>
        </w:rPr>
        <w:t>★</w:t>
      </w:r>
      <w:r>
        <w:rPr>
          <w:sz w:val="21"/>
        </w:rPr>
        <w:t>条款和</w:t>
      </w:r>
      <w:r>
        <w:rPr>
          <w:sz w:val="21"/>
        </w:rPr>
        <w:t>▲</w:t>
      </w:r>
      <w:r>
        <w:rPr>
          <w:sz w:val="21"/>
        </w:rPr>
        <w:t>条款前置填写，</w:t>
      </w:r>
      <w:r>
        <w:rPr>
          <w:sz w:val="21"/>
        </w:rPr>
        <w:t>“</w:t>
      </w:r>
      <w:r>
        <w:rPr>
          <w:sz w:val="21"/>
        </w:rPr>
        <w:t>负偏离</w:t>
      </w:r>
      <w:r>
        <w:rPr>
          <w:sz w:val="21"/>
        </w:rPr>
        <w:t>”</w:t>
      </w:r>
      <w:r>
        <w:rPr>
          <w:sz w:val="21"/>
        </w:rPr>
        <w:t>一般条款填最后）。</w:t>
      </w:r>
    </w:p>
    <w:p>
      <w:pPr>
        <w:ind w:firstLine="420"/>
        <w:jc w:val="both"/>
      </w:pPr>
      <w:r>
        <w:rPr>
          <w:sz w:val="21"/>
        </w:rPr>
        <w:t>注</w:t>
      </w:r>
      <w:r>
        <w:rPr>
          <w:sz w:val="21"/>
        </w:rPr>
        <w:t>4</w:t>
      </w:r>
      <w:r>
        <w:rPr>
          <w:sz w:val="21"/>
        </w:rPr>
        <w:t>：条款（参数）中若有多级目录的以最低级目录的条款视为一条计算。</w:t>
      </w:r>
    </w:p>
    <w:p>
      <w:pPr>
        <w:ind w:firstLine="421"/>
        <w:jc w:val="both"/>
      </w:pPr>
      <w:r>
        <w:rPr>
          <w:b/>
          <w:sz w:val="21"/>
        </w:rPr>
        <w:t>（二）强制节能产品政策执行</w:t>
      </w:r>
    </w:p>
    <w:p>
      <w:pPr>
        <w:ind w:firstLine="420"/>
        <w:jc w:val="both"/>
      </w:pPr>
      <w:r>
        <w:rPr>
          <w:sz w:val="21"/>
        </w:rPr>
        <w:t>★1.</w:t>
      </w:r>
      <w:r>
        <w:rPr>
          <w:sz w:val="21"/>
        </w:rPr>
        <w:t>“</w:t>
      </w:r>
      <w:r>
        <w:rPr>
          <w:sz w:val="21"/>
        </w:rPr>
        <w:t>台式计算机</w:t>
      </w:r>
      <w:r>
        <w:rPr>
          <w:sz w:val="21"/>
        </w:rPr>
        <w:t>”</w:t>
      </w:r>
      <w:r>
        <w:rPr>
          <w:sz w:val="21"/>
        </w:rPr>
        <w:t>或</w:t>
      </w:r>
      <w:r>
        <w:rPr>
          <w:sz w:val="21"/>
        </w:rPr>
        <w:t>同类设备、</w:t>
      </w:r>
      <w:r>
        <w:rPr>
          <w:sz w:val="21"/>
        </w:rPr>
        <w:t>“</w:t>
      </w:r>
      <w:r>
        <w:rPr>
          <w:sz w:val="21"/>
        </w:rPr>
        <w:t>平板式微型计算机</w:t>
      </w:r>
      <w:r>
        <w:rPr>
          <w:sz w:val="21"/>
        </w:rPr>
        <w:t>”</w:t>
      </w:r>
      <w:r>
        <w:rPr>
          <w:sz w:val="21"/>
        </w:rPr>
        <w:t>或同类设备、</w:t>
      </w:r>
      <w:r>
        <w:rPr>
          <w:sz w:val="21"/>
        </w:rPr>
        <w:t>“</w:t>
      </w:r>
      <w:r>
        <w:rPr>
          <w:sz w:val="21"/>
        </w:rPr>
        <w:t>便携式计算器</w:t>
      </w:r>
      <w:r>
        <w:rPr>
          <w:sz w:val="21"/>
        </w:rPr>
        <w:t>”</w:t>
      </w:r>
      <w:r>
        <w:rPr>
          <w:sz w:val="21"/>
        </w:rPr>
        <w:t>或同类设备、</w:t>
      </w:r>
      <w:r>
        <w:rPr>
          <w:sz w:val="21"/>
        </w:rPr>
        <w:t>“</w:t>
      </w:r>
      <w:r>
        <w:rPr>
          <w:sz w:val="21"/>
        </w:rPr>
        <w:t>液晶显示器</w:t>
      </w:r>
      <w:r>
        <w:rPr>
          <w:sz w:val="21"/>
        </w:rPr>
        <w:t>”</w:t>
      </w:r>
      <w:r>
        <w:rPr>
          <w:sz w:val="21"/>
        </w:rPr>
        <w:t>或同类设备、</w:t>
      </w:r>
      <w:r>
        <w:rPr>
          <w:sz w:val="21"/>
        </w:rPr>
        <w:t>“</w:t>
      </w:r>
      <w:r>
        <w:rPr>
          <w:sz w:val="21"/>
        </w:rPr>
        <w:t>水嘴</w:t>
      </w:r>
      <w:r>
        <w:rPr>
          <w:sz w:val="21"/>
        </w:rPr>
        <w:t>”</w:t>
      </w:r>
      <w:r>
        <w:rPr>
          <w:sz w:val="21"/>
        </w:rPr>
        <w:t>或同类设备均属于《节能产品政府采购品目清单》强制采购清单品目范围内的产品，投标人须在投标文件中提供国家认可的认证机构出具的处于有效期之内的节能产品认证证书。（响应方式：按照《技术和服务要求响应表》及表格下方</w:t>
      </w:r>
      <w:r>
        <w:rPr>
          <w:sz w:val="21"/>
        </w:rPr>
        <w:t>“</w:t>
      </w:r>
      <w:r>
        <w:rPr>
          <w:sz w:val="21"/>
        </w:rPr>
        <w:t>说明</w:t>
      </w:r>
      <w:r>
        <w:rPr>
          <w:sz w:val="21"/>
        </w:rPr>
        <w:t>”</w:t>
      </w:r>
      <w:r>
        <w:rPr>
          <w:sz w:val="21"/>
        </w:rPr>
        <w:t>的要求填写</w:t>
      </w:r>
      <w:r>
        <w:rPr>
          <w:sz w:val="21"/>
        </w:rPr>
        <w:t>,</w:t>
      </w:r>
      <w:r>
        <w:rPr>
          <w:sz w:val="21"/>
        </w:rPr>
        <w:t>不按规定填写视为无效，有效响应的应填写</w:t>
      </w:r>
      <w:r>
        <w:rPr>
          <w:sz w:val="21"/>
        </w:rPr>
        <w:t>“</w:t>
      </w:r>
      <w:r>
        <w:rPr>
          <w:sz w:val="21"/>
        </w:rPr>
        <w:t>正偏离</w:t>
      </w:r>
      <w:r>
        <w:rPr>
          <w:sz w:val="21"/>
        </w:rPr>
        <w:t>”</w:t>
      </w:r>
      <w:r>
        <w:rPr>
          <w:sz w:val="21"/>
        </w:rPr>
        <w:t>或</w:t>
      </w:r>
      <w:r>
        <w:rPr>
          <w:sz w:val="21"/>
        </w:rPr>
        <w:t>“</w:t>
      </w:r>
      <w:r>
        <w:rPr>
          <w:sz w:val="21"/>
        </w:rPr>
        <w:t>无偏离</w:t>
      </w:r>
      <w:r>
        <w:rPr>
          <w:sz w:val="21"/>
        </w:rPr>
        <w:t>”</w:t>
      </w:r>
      <w:r>
        <w:rPr>
          <w:sz w:val="21"/>
        </w:rPr>
        <w:t>。投标文件中需按要求附上证明资料，否则视为不满足要求。）</w:t>
      </w:r>
    </w:p>
    <w:p>
      <w:pPr>
        <w:ind w:firstLine="421"/>
        <w:jc w:val="both"/>
      </w:pPr>
      <w:r>
        <w:rPr>
          <w:b/>
          <w:sz w:val="21"/>
        </w:rPr>
        <w:t>二、远程开标注意事项</w:t>
      </w:r>
    </w:p>
    <w:p>
      <w:pPr>
        <w:ind w:firstLine="420"/>
        <w:jc w:val="both"/>
      </w:pPr>
      <w:r>
        <w:rPr>
          <w:sz w:val="21"/>
        </w:rPr>
        <w:t>1.</w:t>
      </w:r>
      <w:r>
        <w:rPr>
          <w:sz w:val="21"/>
        </w:rPr>
        <w:t>请注意：本项目采用远程开标形式，投标人应登录广东省政府采购网（广东政府采购智慧云平台，网址：</w:t>
      </w:r>
      <w:r>
        <w:rPr>
          <w:sz w:val="21"/>
        </w:rPr>
        <w:t>https://gdgpo.czt.gd.gov.cn/</w:t>
      </w:r>
      <w:r>
        <w:rPr>
          <w:sz w:val="21"/>
        </w:rPr>
        <w:t>）对相关操作指南进行研读并熟悉系统的操作。咨询电话：</w:t>
      </w:r>
      <w:r>
        <w:rPr>
          <w:sz w:val="21"/>
        </w:rPr>
        <w:t>400-183-2999</w:t>
      </w:r>
      <w:r>
        <w:rPr>
          <w:sz w:val="21"/>
        </w:rPr>
        <w:t>。</w:t>
      </w:r>
    </w:p>
    <w:p>
      <w:pPr>
        <w:ind w:firstLine="420"/>
        <w:jc w:val="both"/>
      </w:pPr>
      <w:r>
        <w:rPr>
          <w:sz w:val="21"/>
        </w:rPr>
        <w:t>2.</w:t>
      </w:r>
      <w:r>
        <w:rPr>
          <w:sz w:val="21"/>
        </w:rPr>
        <w:t>关于提前进入开标大厅的提醒：参加本项目投标的供应商，请务必于投标截止时间前</w:t>
      </w:r>
      <w:r>
        <w:rPr>
          <w:sz w:val="21"/>
        </w:rPr>
        <w:t>30</w:t>
      </w:r>
      <w:r>
        <w:rPr>
          <w:sz w:val="21"/>
        </w:rPr>
        <w:t>分钟登录广东省政府采购智慧云平台，并进入本项目</w:t>
      </w:r>
      <w:r>
        <w:rPr>
          <w:sz w:val="21"/>
        </w:rPr>
        <w:t>“</w:t>
      </w:r>
      <w:r>
        <w:rPr>
          <w:sz w:val="21"/>
        </w:rPr>
        <w:t>开标大厅</w:t>
      </w:r>
      <w:r>
        <w:rPr>
          <w:sz w:val="21"/>
        </w:rPr>
        <w:t>”</w:t>
      </w:r>
      <w:r>
        <w:rPr>
          <w:sz w:val="21"/>
        </w:rPr>
        <w:t>，进入后请立即加入右侧</w:t>
      </w:r>
      <w:r>
        <w:rPr>
          <w:sz w:val="21"/>
        </w:rPr>
        <w:t>“</w:t>
      </w:r>
      <w:r>
        <w:rPr>
          <w:sz w:val="21"/>
        </w:rPr>
        <w:t>开标消息</w:t>
      </w:r>
      <w:r>
        <w:rPr>
          <w:sz w:val="21"/>
        </w:rPr>
        <w:t>”</w:t>
      </w:r>
      <w:r>
        <w:rPr>
          <w:sz w:val="21"/>
        </w:rPr>
        <w:t>聊天群组，关注代理机构发布的消息。无法进入</w:t>
      </w:r>
      <w:r>
        <w:rPr>
          <w:sz w:val="21"/>
        </w:rPr>
        <w:t>“</w:t>
      </w:r>
      <w:r>
        <w:rPr>
          <w:sz w:val="21"/>
        </w:rPr>
        <w:t>开标大厅</w:t>
      </w:r>
      <w:r>
        <w:rPr>
          <w:sz w:val="21"/>
        </w:rPr>
        <w:t>”</w:t>
      </w:r>
      <w:r>
        <w:rPr>
          <w:sz w:val="21"/>
        </w:rPr>
        <w:t>的应该及时联系平台技术人员解决。供应商不按要求进入</w:t>
      </w:r>
      <w:r>
        <w:rPr>
          <w:sz w:val="21"/>
        </w:rPr>
        <w:t>“</w:t>
      </w:r>
      <w:r>
        <w:rPr>
          <w:sz w:val="21"/>
        </w:rPr>
        <w:t>开标大厅</w:t>
      </w:r>
      <w:r>
        <w:rPr>
          <w:sz w:val="21"/>
        </w:rPr>
        <w:t>”</w:t>
      </w:r>
      <w:r>
        <w:rPr>
          <w:sz w:val="21"/>
        </w:rPr>
        <w:t>的，将无法收到相关注意事项消息，由此造成的后果由供应商承担。</w:t>
      </w:r>
    </w:p>
    <w:p>
      <w:pPr>
        <w:ind w:firstLine="420"/>
        <w:jc w:val="both"/>
      </w:pPr>
      <w:r>
        <w:rPr>
          <w:sz w:val="21"/>
        </w:rPr>
        <w:t>3.</w:t>
      </w:r>
      <w:r>
        <w:rPr>
          <w:sz w:val="21"/>
        </w:rPr>
        <w:t>关于开标专用电脑的选取：供应商应尽量使用本项目投标（响应）文件成功加密所使用的电脑，避免开标时由于解密失败所带来的影响。</w:t>
      </w:r>
    </w:p>
    <w:p>
      <w:pPr>
        <w:ind w:firstLine="420"/>
        <w:jc w:val="both"/>
      </w:pPr>
      <w:r>
        <w:rPr>
          <w:sz w:val="21"/>
        </w:rPr>
        <w:t>4.</w:t>
      </w:r>
      <w:r>
        <w:rPr>
          <w:sz w:val="21"/>
        </w:rPr>
        <w:t>关于参与开标资料准备提醒：供应商进入本项目</w:t>
      </w:r>
      <w:r>
        <w:rPr>
          <w:sz w:val="21"/>
        </w:rPr>
        <w:t>“</w:t>
      </w:r>
      <w:r>
        <w:rPr>
          <w:sz w:val="21"/>
        </w:rPr>
        <w:t>开标大厅</w:t>
      </w:r>
      <w:r>
        <w:rPr>
          <w:sz w:val="21"/>
        </w:rPr>
        <w:t>”</w:t>
      </w:r>
      <w:r>
        <w:rPr>
          <w:sz w:val="21"/>
        </w:rPr>
        <w:t>（参加投标）时，应提前准备有效的数字证书，以及投标文件加密时生成的备用标书。</w:t>
      </w:r>
    </w:p>
    <w:p>
      <w:pPr>
        <w:ind w:firstLine="420"/>
        <w:jc w:val="both"/>
      </w:pPr>
      <w:r>
        <w:rPr>
          <w:sz w:val="21"/>
        </w:rPr>
        <w:t>（</w:t>
      </w:r>
      <w:r>
        <w:rPr>
          <w:sz w:val="21"/>
        </w:rPr>
        <w:t>1</w:t>
      </w:r>
      <w:r>
        <w:rPr>
          <w:sz w:val="21"/>
        </w:rPr>
        <w:t>）有效的数字证书将用于开标时解密及签名环节；</w:t>
      </w:r>
    </w:p>
    <w:p>
      <w:pPr>
        <w:ind w:firstLine="420"/>
        <w:jc w:val="both"/>
      </w:pPr>
      <w:r>
        <w:rPr>
          <w:sz w:val="21"/>
        </w:rPr>
        <w:t>（</w:t>
      </w:r>
      <w:r>
        <w:rPr>
          <w:sz w:val="21"/>
        </w:rPr>
        <w:t>2</w:t>
      </w:r>
      <w:r>
        <w:rPr>
          <w:sz w:val="21"/>
        </w:rPr>
        <w:t>）备用标书用于开标时解密失败的情况下可以补充上传。若供应商未及时准备上述资料，由此造成的后果由供应商承担。</w:t>
      </w:r>
    </w:p>
    <w:p>
      <w:pPr>
        <w:ind w:firstLine="420"/>
        <w:jc w:val="both"/>
      </w:pPr>
      <w:r>
        <w:rPr>
          <w:sz w:val="21"/>
        </w:rPr>
        <w:t>（</w:t>
      </w:r>
      <w:r>
        <w:rPr>
          <w:sz w:val="21"/>
        </w:rPr>
        <w:t>3</w:t>
      </w:r>
      <w:r>
        <w:rPr>
          <w:sz w:val="21"/>
        </w:rPr>
        <w:t>）投标人代表对开标过程和开标记录有异议，应当场提出，若供应商签名环节签名失败且未在</w:t>
      </w:r>
      <w:r>
        <w:rPr>
          <w:sz w:val="21"/>
        </w:rPr>
        <w:t>“</w:t>
      </w:r>
      <w:r>
        <w:rPr>
          <w:sz w:val="21"/>
        </w:rPr>
        <w:t>开标消息</w:t>
      </w:r>
      <w:r>
        <w:rPr>
          <w:sz w:val="21"/>
        </w:rPr>
        <w:t>”</w:t>
      </w:r>
      <w:r>
        <w:rPr>
          <w:sz w:val="21"/>
        </w:rPr>
        <w:t>即时提出异议的视为对开标过程和结果无异议，因签名失败造成的其他后果由供应商承担。</w:t>
      </w:r>
    </w:p>
    <w:p>
      <w:pPr>
        <w:jc w:val="both"/>
      </w:pPr>
    </w:p>
    <w:p>
      <w:pPr>
        <w:ind w:firstLine="421"/>
        <w:jc w:val="both"/>
      </w:pPr>
      <w:r>
        <w:rPr>
          <w:b/>
          <w:sz w:val="21"/>
        </w:rPr>
        <w:t>三、投标现场演示注意事项</w:t>
      </w:r>
    </w:p>
    <w:p>
      <w:pPr>
        <w:ind w:firstLine="420"/>
        <w:jc w:val="both"/>
      </w:pPr>
      <w:r>
        <w:rPr>
          <w:sz w:val="21"/>
        </w:rPr>
        <w:t>1.</w:t>
      </w:r>
      <w:r>
        <w:rPr>
          <w:sz w:val="21"/>
        </w:rPr>
        <w:t>演示资格说明：投标人演示人员需在开标截止时间前持有《演示授权书》（详见附件）纸质原件、身份证原件及演示</w:t>
      </w:r>
      <w:r>
        <w:rPr>
          <w:sz w:val="21"/>
        </w:rPr>
        <w:t>U</w:t>
      </w:r>
      <w:r>
        <w:rPr>
          <w:sz w:val="21"/>
        </w:rPr>
        <w:t>盘到达开标室【中山市博爱六路</w:t>
      </w:r>
      <w:r>
        <w:rPr>
          <w:sz w:val="21"/>
        </w:rPr>
        <w:t>22</w:t>
      </w:r>
      <w:r>
        <w:rPr>
          <w:sz w:val="21"/>
        </w:rPr>
        <w:t>号行政服务中心二楼中山市公共资源交易中心（详见开标当天开标室安排）】填写相关表格，才具备演示资格，没有《演示授权书》纸质原件或没有演示</w:t>
      </w:r>
      <w:r>
        <w:rPr>
          <w:sz w:val="21"/>
        </w:rPr>
        <w:t>U</w:t>
      </w:r>
      <w:r>
        <w:rPr>
          <w:sz w:val="21"/>
        </w:rPr>
        <w:t>盘或开标截止时间前没有到达开标室的不具备演示资格，其演示对应评分为零分。</w:t>
      </w:r>
    </w:p>
    <w:p>
      <w:pPr>
        <w:ind w:firstLine="420"/>
        <w:jc w:val="both"/>
      </w:pPr>
      <w:r>
        <w:rPr>
          <w:sz w:val="21"/>
        </w:rPr>
        <w:t>2.</w:t>
      </w:r>
      <w:r>
        <w:rPr>
          <w:sz w:val="21"/>
        </w:rPr>
        <w:t>项目开标说明：本次开标采用远程开标，投标人需要按照远程开标的相关流程执行。投标人操作人员需要登录广东省智慧云平台进行解密、签名等操作，操作人员无需来到开标现场。若投标人操作人员和演示人员为同一人，需要在开标室里进行解密、签名等操作的，投标人应该自备电脑及网络热点，开标现场不提供网络及电脑设备。</w:t>
      </w:r>
    </w:p>
    <w:p>
      <w:pPr>
        <w:ind w:firstLine="420"/>
        <w:jc w:val="both"/>
      </w:pPr>
      <w:r>
        <w:rPr>
          <w:sz w:val="21"/>
        </w:rPr>
        <w:t>3.</w:t>
      </w:r>
      <w:r>
        <w:rPr>
          <w:sz w:val="21"/>
        </w:rPr>
        <w:t>演示时间：演示时长不超过技术评分对应要求演示时长，若述标讲解时间超过限定时间，由现场人员进行制止。</w:t>
      </w:r>
    </w:p>
    <w:p>
      <w:pPr>
        <w:ind w:firstLine="420"/>
        <w:jc w:val="both"/>
      </w:pPr>
      <w:r>
        <w:rPr>
          <w:sz w:val="21"/>
        </w:rPr>
        <w:t>4.</w:t>
      </w:r>
      <w:r>
        <w:rPr>
          <w:sz w:val="21"/>
        </w:rPr>
        <w:t>演示内容：按照招标文件</w:t>
      </w:r>
      <w:r>
        <w:rPr>
          <w:sz w:val="21"/>
        </w:rPr>
        <w:t>“</w:t>
      </w:r>
      <w:r>
        <w:rPr>
          <w:sz w:val="21"/>
        </w:rPr>
        <w:t>评审标准</w:t>
      </w:r>
      <w:r>
        <w:rPr>
          <w:sz w:val="21"/>
        </w:rPr>
        <w:t>”</w:t>
      </w:r>
      <w:r>
        <w:rPr>
          <w:sz w:val="21"/>
        </w:rPr>
        <w:t>评分表中的要求进行现场述标讲解，评委根据述标讲解的情况给分。</w:t>
      </w:r>
    </w:p>
    <w:p>
      <w:pPr>
        <w:ind w:firstLine="420"/>
        <w:jc w:val="both"/>
      </w:pPr>
      <w:r>
        <w:rPr>
          <w:sz w:val="21"/>
        </w:rPr>
        <w:t>5.</w:t>
      </w:r>
      <w:r>
        <w:rPr>
          <w:sz w:val="21"/>
        </w:rPr>
        <w:t>演示顺序：按照电子签到的顺序依次进行演示。</w:t>
      </w:r>
    </w:p>
    <w:p>
      <w:pPr>
        <w:ind w:firstLine="420"/>
        <w:jc w:val="both"/>
      </w:pPr>
      <w:r>
        <w:rPr>
          <w:sz w:val="21"/>
        </w:rPr>
        <w:t>6.</w:t>
      </w:r>
      <w:r>
        <w:rPr>
          <w:sz w:val="21"/>
        </w:rPr>
        <w:t>演示人数：不超过</w:t>
      </w:r>
      <w:r>
        <w:rPr>
          <w:sz w:val="21"/>
        </w:rPr>
        <w:t>1</w:t>
      </w:r>
      <w:r>
        <w:rPr>
          <w:sz w:val="21"/>
        </w:rPr>
        <w:t>人（经法定代表人或其授权的委托代理人，演示时需出具身份证原件，法定代表人证明书或其授权书原件）</w:t>
      </w:r>
    </w:p>
    <w:p>
      <w:pPr>
        <w:ind w:firstLine="420"/>
        <w:jc w:val="both"/>
      </w:pPr>
      <w:r>
        <w:rPr>
          <w:sz w:val="21"/>
        </w:rPr>
        <w:t>7.</w:t>
      </w:r>
      <w:r>
        <w:rPr>
          <w:sz w:val="21"/>
        </w:rPr>
        <w:t>演示形式：</w:t>
      </w:r>
    </w:p>
    <w:p>
      <w:pPr>
        <w:ind w:firstLine="420"/>
        <w:jc w:val="both"/>
      </w:pPr>
      <w:r>
        <w:rPr>
          <w:sz w:val="21"/>
        </w:rPr>
        <w:t>（</w:t>
      </w:r>
      <w:r>
        <w:rPr>
          <w:sz w:val="21"/>
        </w:rPr>
        <w:t>1</w:t>
      </w:r>
      <w:r>
        <w:rPr>
          <w:sz w:val="21"/>
        </w:rPr>
        <w:t>）现场演示可采用视频演示或</w:t>
      </w:r>
      <w:r>
        <w:rPr>
          <w:sz w:val="21"/>
        </w:rPr>
        <w:t>PPT</w:t>
      </w:r>
      <w:r>
        <w:rPr>
          <w:sz w:val="21"/>
        </w:rPr>
        <w:t>演示。采用视频演示的，建议提供</w:t>
      </w:r>
      <w:r>
        <w:rPr>
          <w:sz w:val="21"/>
        </w:rPr>
        <w:t>MP4</w:t>
      </w:r>
      <w:r>
        <w:rPr>
          <w:sz w:val="21"/>
        </w:rPr>
        <w:t>或</w:t>
      </w:r>
      <w:r>
        <w:rPr>
          <w:sz w:val="21"/>
        </w:rPr>
        <w:t>AVI</w:t>
      </w:r>
      <w:r>
        <w:rPr>
          <w:sz w:val="21"/>
        </w:rPr>
        <w:t>等主流格式，采用</w:t>
      </w:r>
      <w:r>
        <w:rPr>
          <w:sz w:val="21"/>
        </w:rPr>
        <w:t>PPT</w:t>
      </w:r>
      <w:r>
        <w:rPr>
          <w:sz w:val="21"/>
        </w:rPr>
        <w:t>演示的，应确保提交的文件能通过</w:t>
      </w:r>
      <w:r>
        <w:rPr>
          <w:sz w:val="21"/>
        </w:rPr>
        <w:t>WPS</w:t>
      </w:r>
      <w:r>
        <w:rPr>
          <w:sz w:val="21"/>
        </w:rPr>
        <w:t>软件打开。投标人应在投标前测试演示文件，确保能正常读取打开，若演示文件不能正常读取打开，由此导致的后果由投标人自负。</w:t>
      </w:r>
    </w:p>
    <w:p>
      <w:pPr>
        <w:ind w:firstLine="420"/>
        <w:jc w:val="both"/>
      </w:pPr>
      <w:r>
        <w:rPr>
          <w:sz w:val="21"/>
        </w:rPr>
        <w:t>（</w:t>
      </w:r>
      <w:r>
        <w:rPr>
          <w:sz w:val="21"/>
        </w:rPr>
        <w:t>2</w:t>
      </w:r>
      <w:r>
        <w:rPr>
          <w:sz w:val="21"/>
        </w:rPr>
        <w:t>）演示文件作为电子投标文件的一部分，两者内容不一致的以演示文件为准，投标截止时间前需将</w:t>
      </w:r>
      <w:r>
        <w:rPr>
          <w:sz w:val="21"/>
        </w:rPr>
        <w:t>U</w:t>
      </w:r>
      <w:r>
        <w:rPr>
          <w:sz w:val="21"/>
        </w:rPr>
        <w:t>盘密封（内含演示文件，封面注明公司名称、项目名称及项目编号）提交。如超出投标截止时间提交或未密封完整，工作人员将拒收；如开标解密环节投标人解密失败或未解密，将于开标现场退回演示文件。</w:t>
      </w:r>
    </w:p>
    <w:p>
      <w:pPr>
        <w:ind w:firstLine="420"/>
        <w:jc w:val="both"/>
      </w:pPr>
      <w:r>
        <w:rPr>
          <w:sz w:val="21"/>
        </w:rPr>
        <w:t>（</w:t>
      </w:r>
      <w:r>
        <w:rPr>
          <w:sz w:val="21"/>
        </w:rPr>
        <w:t>3</w:t>
      </w:r>
      <w:r>
        <w:rPr>
          <w:sz w:val="21"/>
        </w:rPr>
        <w:t>）演示时再由现场工作人员拆开密封袋，演示文件作为电子投标文件的一部分，演示完毕由代理机构保存，不再退还给投标人。</w:t>
      </w:r>
    </w:p>
    <w:p>
      <w:pPr>
        <w:ind w:firstLine="420"/>
        <w:jc w:val="both"/>
      </w:pPr>
      <w:r>
        <w:rPr>
          <w:sz w:val="21"/>
        </w:rPr>
        <w:t>8.</w:t>
      </w:r>
      <w:r>
        <w:rPr>
          <w:sz w:val="21"/>
        </w:rPr>
        <w:t>备注：</w:t>
      </w:r>
    </w:p>
    <w:p>
      <w:pPr>
        <w:ind w:firstLine="420"/>
        <w:jc w:val="both"/>
      </w:pPr>
      <w:r>
        <w:rPr>
          <w:sz w:val="21"/>
        </w:rPr>
        <w:t>（</w:t>
      </w:r>
      <w:r>
        <w:rPr>
          <w:sz w:val="21"/>
        </w:rPr>
        <w:t>1</w:t>
      </w:r>
      <w:r>
        <w:rPr>
          <w:sz w:val="21"/>
        </w:rPr>
        <w:t>）请参与演示的投标人按照我市疫情防控工作要求，安排合适人员出行，以免影响述标。同时，密切关注</w:t>
      </w:r>
      <w:r>
        <w:rPr>
          <w:sz w:val="21"/>
        </w:rPr>
        <w:t>“</w:t>
      </w:r>
      <w:r>
        <w:rPr>
          <w:sz w:val="21"/>
        </w:rPr>
        <w:t>广东发布</w:t>
      </w:r>
      <w:r>
        <w:rPr>
          <w:sz w:val="21"/>
        </w:rPr>
        <w:t>”</w:t>
      </w:r>
      <w:r>
        <w:rPr>
          <w:sz w:val="21"/>
        </w:rPr>
        <w:t>、</w:t>
      </w:r>
      <w:r>
        <w:rPr>
          <w:sz w:val="21"/>
        </w:rPr>
        <w:t>“</w:t>
      </w:r>
      <w:r>
        <w:rPr>
          <w:sz w:val="21"/>
        </w:rPr>
        <w:t>中山发布</w:t>
      </w:r>
      <w:r>
        <w:rPr>
          <w:sz w:val="21"/>
        </w:rPr>
        <w:t>”</w:t>
      </w:r>
      <w:r>
        <w:rPr>
          <w:sz w:val="21"/>
        </w:rPr>
        <w:t>等权威发布的最新疫情管控措施，按要求落实。</w:t>
      </w:r>
    </w:p>
    <w:p>
      <w:pPr>
        <w:ind w:firstLine="420"/>
        <w:jc w:val="both"/>
      </w:pPr>
      <w:r>
        <w:rPr>
          <w:sz w:val="21"/>
        </w:rPr>
        <w:t>（</w:t>
      </w:r>
      <w:r>
        <w:rPr>
          <w:sz w:val="21"/>
        </w:rPr>
        <w:t>2</w:t>
      </w:r>
      <w:r>
        <w:rPr>
          <w:sz w:val="21"/>
        </w:rPr>
        <w:t>）评标（演示）现场不允许带手机等有通讯功能的电子工具。</w:t>
      </w:r>
    </w:p>
    <w:p>
      <w:pPr>
        <w:ind w:firstLine="420"/>
        <w:jc w:val="both"/>
      </w:pPr>
      <w:r>
        <w:rPr>
          <w:sz w:val="21"/>
        </w:rPr>
        <w:t>（</w:t>
      </w:r>
      <w:r>
        <w:rPr>
          <w:sz w:val="21"/>
        </w:rPr>
        <w:t>3</w:t>
      </w:r>
      <w:r>
        <w:rPr>
          <w:sz w:val="21"/>
        </w:rPr>
        <w:t>）演示现场提供便携式计算机、电源、投影机（包括投影转换接口），其它设备由投标人自行准备。</w:t>
      </w:r>
    </w:p>
    <w:p>
      <w:pPr>
        <w:jc w:val="both"/>
      </w:pPr>
    </w:p>
    <w:p>
      <w:pPr>
        <w:ind w:firstLine="421"/>
        <w:jc w:val="both"/>
      </w:pPr>
      <w:r>
        <w:rPr>
          <w:b/>
          <w:sz w:val="21"/>
        </w:rPr>
        <w:t>四、项目基本情况</w:t>
      </w:r>
    </w:p>
    <w:p>
      <w:pPr>
        <w:ind w:firstLine="421"/>
        <w:jc w:val="both"/>
      </w:pPr>
      <w:r>
        <w:rPr>
          <w:b/>
          <w:sz w:val="21"/>
        </w:rPr>
        <w:t>（一）</w:t>
      </w:r>
      <w:r>
        <w:rPr>
          <w:b/>
          <w:sz w:val="21"/>
        </w:rPr>
        <w:t>详细范围</w:t>
      </w:r>
    </w:p>
    <w:tbl>
      <w:tblPr>
        <w:tblW w:w="0" w:type="auto"/>
        <w:tblBorders>
          <w:top w:val="none" w:color="000000" w:sz="4"/>
          <w:left w:val="none" w:color="000000" w:sz="4"/>
          <w:bottom w:val="none" w:color="000000" w:sz="4"/>
          <w:right w:val="none" w:color="000000" w:sz="4"/>
          <w:insideH w:val="none"/>
          <w:insideV w:val="none"/>
        </w:tblBorders>
      </w:tblPr>
      <w:tblGrid>
        <w:gridCol w:w="496"/>
        <w:gridCol w:w="1474"/>
        <w:gridCol w:w="2350"/>
        <w:gridCol w:w="2087"/>
        <w:gridCol w:w="744"/>
        <w:gridCol w:w="1109"/>
      </w:tblGrid>
      <w:tr>
        <w:tc>
          <w:tcPr>
            <w:tcW w:type="dxa" w:w="8260"/>
            <w:gridSpan w:val="6"/>
            <w:tcBorders>
              <w:top w:val="single" w:color="000000" w:sz="4"/>
              <w:left w:val="single" w:color="000000" w:sz="4"/>
              <w:bottom w:val="single" w:color="000000" w:sz="4"/>
              <w:right w:val="single" w:color="000000" w:sz="4"/>
            </w:tcBorders>
            <w:shd w:fill="FFFFFF"/>
            <w:vAlign w:val="top"/>
          </w:tcPr>
          <w:p>
            <w:pPr>
              <w:jc w:val="center"/>
            </w:pPr>
            <w:r>
              <w:rPr>
                <w:b/>
                <w:color w:val="000000"/>
                <w:sz w:val="30"/>
              </w:rPr>
              <w:t>中山市华侨中学高中部二期扩建工程之工器具采购项目（包一）</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b/>
                <w:color w:val="000000"/>
                <w:sz w:val="21"/>
              </w:rPr>
              <w:t>序号</w:t>
            </w:r>
          </w:p>
        </w:tc>
        <w:tc>
          <w:tcPr>
            <w:tcW w:type="dxa" w:w="1474"/>
            <w:tcBorders>
              <w:top w:val="none" w:color="000000" w:sz="4"/>
              <w:left w:val="none" w:color="000000" w:sz="4"/>
              <w:bottom w:val="single" w:color="000000" w:sz="4"/>
              <w:right w:val="single" w:color="000000" w:sz="4"/>
            </w:tcBorders>
            <w:shd w:fill="FFFFFF"/>
            <w:vAlign w:val="top"/>
          </w:tcPr>
          <w:p>
            <w:pPr>
              <w:jc w:val="center"/>
            </w:pPr>
            <w:r>
              <w:rPr>
                <w:b/>
                <w:color w:val="000000"/>
                <w:sz w:val="21"/>
              </w:rPr>
              <w:t>学科类别</w:t>
            </w:r>
          </w:p>
        </w:tc>
        <w:tc>
          <w:tcPr>
            <w:tcW w:type="dxa" w:w="2350"/>
            <w:tcBorders>
              <w:top w:val="none" w:color="000000" w:sz="4"/>
              <w:left w:val="none" w:color="000000" w:sz="4"/>
              <w:bottom w:val="single" w:color="000000" w:sz="4"/>
              <w:right w:val="single" w:color="000000" w:sz="4"/>
            </w:tcBorders>
            <w:shd w:fill="FFFFFF"/>
            <w:vAlign w:val="top"/>
          </w:tcPr>
          <w:p>
            <w:pPr>
              <w:jc w:val="center"/>
            </w:pPr>
            <w:r>
              <w:rPr>
                <w:b/>
                <w:color w:val="000000"/>
                <w:sz w:val="21"/>
              </w:rPr>
              <w:t>场室名称</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规格</w:t>
            </w:r>
            <w:r>
              <w:rPr>
                <w:b/>
                <w:color w:val="000000"/>
                <w:sz w:val="21"/>
              </w:rPr>
              <w:t>/型号</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数量</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单位</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1"/>
              </w:rPr>
              <w:t>美术学科</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美术写生室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2</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美术教师工作室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6</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书法室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美术器材室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美术版画室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美术陶艺室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美术国画室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美术掐丝珐琅室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美术油画室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10</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美术教师办公室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11</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美术会议室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12</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1"/>
              </w:rPr>
              <w:t>音乐学科</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音乐合唱室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13</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音乐鉴赏室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14</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乐器排练室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15</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琴房</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16</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舞蹈室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17</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服装仓库</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18</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舞蹈更衣室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19</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音乐器材室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2</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20</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戏剧教室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21</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音乐智慧室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22</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弦乐团室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23</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管乐团室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24</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舞蹈排练室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25</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音乐教师办公室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4人位</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26</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音乐厅座椅</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27</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1"/>
              </w:rPr>
              <w:t>数学学科</w:t>
            </w: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数学创新实验室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28</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数学辅导室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4人位</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29</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数学实验室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30</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1"/>
              </w:rPr>
              <w:t>化学学科</w:t>
            </w: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化学吊装实验室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31</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2"/>
              </w:rPr>
              <w:t>化学万向通风实验室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6</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32</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危险药物室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33</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化学办公室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34</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化学准备室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2</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35</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化学仪器室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2</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36</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化学药品室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37</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实验室废水废气处理系统</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38</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1"/>
              </w:rPr>
              <w:t>物理学科</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物理吊装实验室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39</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物理力学实验室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2</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40</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物理综合实验室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3</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41</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物理探究实验室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42</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物理办公室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4人位</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43</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物理准备室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4</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44</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物理仪器室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2</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45</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1"/>
              </w:rPr>
              <w:t>生物学科</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生物吊装实验室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46</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生物组织培养实验室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47</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生物综合实验室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3</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48</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生物探究和数码显微镜室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2</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49</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生物办公室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50</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生物准备室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3</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51</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生物仪器室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2</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52</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生物药品室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53</w:t>
            </w:r>
          </w:p>
        </w:tc>
        <w:tc>
          <w:tcPr>
            <w:tcW w:type="dxa" w:w="1474"/>
            <w:tcBorders>
              <w:top w:val="none" w:color="000000" w:sz="4"/>
              <w:left w:val="none" w:color="000000" w:sz="4"/>
              <w:bottom w:val="single" w:color="000000" w:sz="4"/>
              <w:right w:val="single" w:color="000000" w:sz="4"/>
            </w:tcBorders>
            <w:shd w:fill="FFFFFF"/>
            <w:vAlign w:val="top"/>
          </w:tcPr>
          <w:p>
            <w:pPr>
              <w:jc w:val="center"/>
            </w:pPr>
            <w:r>
              <w:rPr>
                <w:b/>
                <w:color w:val="000000"/>
                <w:sz w:val="21"/>
              </w:rPr>
              <w:t>实验楼四楼</w:t>
            </w: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年级科组办公室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3</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54</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1"/>
              </w:rPr>
              <w:t>史地学科</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历史智慧实验室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55</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数字化地理实验室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56</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历史地理准备室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57</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1"/>
              </w:rPr>
              <w:t>通用技术创客学科</w:t>
            </w: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通用教师辅导室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58</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通用技术必修实践室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59</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人工智能实验室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56座/间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60</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人工智能准备室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61</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金工室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62</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木工室（工具设备室）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63</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创客室</w:t>
            </w:r>
            <w:r>
              <w:rPr>
                <w:b/>
                <w:color w:val="000000"/>
                <w:sz w:val="21"/>
              </w:rPr>
              <w:t>1</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40座/间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64</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创客室</w:t>
            </w:r>
            <w:r>
              <w:rPr>
                <w:b/>
                <w:color w:val="000000"/>
                <w:sz w:val="21"/>
              </w:rPr>
              <w:t>2</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40座/间</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65</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1"/>
              </w:rPr>
              <w:t>多媒体计算机室设备</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多媒体网络计算机室</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6</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66</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教学终端</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67</w:t>
            </w:r>
          </w:p>
        </w:tc>
        <w:tc>
          <w:tcPr>
            <w:tcW w:type="dxa" w:w="1474"/>
            <w:tcBorders>
              <w:top w:val="none" w:color="000000" w:sz="4"/>
              <w:left w:val="none" w:color="000000" w:sz="4"/>
              <w:bottom w:val="single" w:color="000000" w:sz="4"/>
              <w:right w:val="single" w:color="000000" w:sz="4"/>
            </w:tcBorders>
            <w:shd w:fill="FFFFFF"/>
            <w:vAlign w:val="top"/>
          </w:tcPr>
          <w:p>
            <w:pPr>
              <w:jc w:val="center"/>
            </w:pPr>
            <w:r>
              <w:rPr>
                <w:b/>
                <w:color w:val="000000"/>
                <w:sz w:val="22"/>
              </w:rPr>
              <w:t>计算机室器材</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多媒体网络计算机室器材</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6</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间</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68</w:t>
            </w:r>
          </w:p>
        </w:tc>
        <w:tc>
          <w:tcPr>
            <w:tcW w:type="dxa" w:w="1474"/>
            <w:tcBorders>
              <w:top w:val="none" w:color="000000" w:sz="4"/>
              <w:left w:val="none" w:color="000000" w:sz="4"/>
              <w:bottom w:val="single" w:color="000000" w:sz="4"/>
              <w:right w:val="single" w:color="000000" w:sz="4"/>
            </w:tcBorders>
            <w:shd w:fill="FFFFFF"/>
            <w:vAlign w:val="top"/>
          </w:tcPr>
          <w:p>
            <w:pPr>
              <w:jc w:val="center"/>
            </w:pPr>
            <w:r>
              <w:rPr>
                <w:b/>
                <w:sz w:val="22"/>
              </w:rPr>
              <w:t>数学仪器</w:t>
            </w:r>
          </w:p>
        </w:tc>
        <w:tc>
          <w:tcPr>
            <w:tcW w:type="dxa" w:w="2350"/>
            <w:tcBorders>
              <w:top w:val="none" w:color="000000" w:sz="4"/>
              <w:left w:val="none" w:color="000000" w:sz="4"/>
              <w:bottom w:val="single" w:color="000000" w:sz="4"/>
              <w:right w:val="single" w:color="000000" w:sz="4"/>
            </w:tcBorders>
            <w:shd w:fill="FFFFFF"/>
            <w:vAlign w:val="top"/>
          </w:tcPr>
          <w:p>
            <w:pPr>
              <w:jc w:val="left"/>
            </w:pPr>
            <w:r>
              <w:rPr>
                <w:b/>
                <w:color w:val="000000"/>
                <w:sz w:val="21"/>
              </w:rPr>
              <w:t>高中数学仪器</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69</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2"/>
              </w:rPr>
              <w:t>化学仪器</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高中化学探究仪器</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70</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高中化学实验仪器</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71</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2"/>
              </w:rPr>
              <w:t>物理仪器</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物理实验仪器</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72</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物理探究仪器</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73</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2"/>
              </w:rPr>
              <w:t>生物仪器</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生物实验仪器设备</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74</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生物探究仪器</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75</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生物数码显微镜</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套</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76</w:t>
            </w:r>
          </w:p>
        </w:tc>
        <w:tc>
          <w:tcPr>
            <w:tcW w:type="dxa" w:w="1474"/>
            <w:tcBorders>
              <w:top w:val="none" w:color="000000" w:sz="4"/>
              <w:left w:val="none" w:color="000000" w:sz="4"/>
              <w:bottom w:val="single" w:color="000000" w:sz="4"/>
              <w:right w:val="single" w:color="000000" w:sz="4"/>
            </w:tcBorders>
            <w:shd w:fill="FFFFFF"/>
            <w:vAlign w:val="top"/>
          </w:tcPr>
          <w:p>
            <w:pPr>
              <w:jc w:val="center"/>
            </w:pPr>
            <w:r>
              <w:rPr>
                <w:b/>
                <w:color w:val="000000"/>
                <w:sz w:val="22"/>
              </w:rPr>
              <w:t>通用技术仪器</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人工智能实验室器材</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77</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2"/>
              </w:rPr>
              <w:t>创客器材</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创客室</w:t>
            </w:r>
            <w:r>
              <w:rPr>
                <w:b/>
                <w:color w:val="000000"/>
                <w:sz w:val="21"/>
              </w:rPr>
              <w:t>1器材</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创客室</w:t>
            </w:r>
            <w:r>
              <w:rPr>
                <w:b/>
                <w:color w:val="000000"/>
                <w:sz w:val="21"/>
              </w:rPr>
              <w:t>2器材</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78</w:t>
            </w:r>
          </w:p>
        </w:tc>
        <w:tc>
          <w:tcPr>
            <w:tcW w:type="dxa" w:w="1474"/>
            <w:vMerge w:val="restart"/>
            <w:tcBorders>
              <w:top w:val="none" w:color="000000" w:sz="4"/>
              <w:left w:val="none" w:color="000000" w:sz="4"/>
              <w:bottom w:val="single" w:color="000000" w:sz="4"/>
              <w:right w:val="single" w:color="000000" w:sz="4"/>
            </w:tcBorders>
            <w:shd w:fill="FFFFFF"/>
            <w:vAlign w:val="top"/>
          </w:tcPr>
          <w:p>
            <w:pPr>
              <w:jc w:val="center"/>
            </w:pPr>
            <w:r>
              <w:rPr>
                <w:b/>
                <w:color w:val="000000"/>
                <w:sz w:val="22"/>
              </w:rPr>
              <w:t>美术器材</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书法室器材</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79</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美术陶艺室器材</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80</w:t>
            </w:r>
          </w:p>
        </w:tc>
        <w:tc>
          <w:tcPr>
            <w:tcW w:type="dxa" w:w="1474"/>
            <w:vMerge/>
            <w:tcBorders>
              <w:top w:val="none" w:color="000000" w:sz="4"/>
              <w:left w:val="none" w:color="000000" w:sz="4"/>
              <w:bottom w:val="single" w:color="000000" w:sz="4"/>
              <w:right w:val="single" w:color="000000" w:sz="4"/>
            </w:tcBorders>
          </w:tcP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美术国画室器材</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81</w:t>
            </w:r>
          </w:p>
        </w:tc>
        <w:tc>
          <w:tcPr>
            <w:tcW w:type="dxa" w:w="1474"/>
            <w:tcBorders>
              <w:top w:val="none" w:color="000000" w:sz="4"/>
              <w:left w:val="none" w:color="000000" w:sz="4"/>
              <w:bottom w:val="single" w:color="000000" w:sz="4"/>
              <w:right w:val="single" w:color="000000" w:sz="4"/>
            </w:tcBorders>
            <w:shd w:fill="FFFFFF"/>
            <w:vAlign w:val="top"/>
          </w:tcPr>
          <w:p>
            <w:pPr>
              <w:jc w:val="center"/>
            </w:pPr>
            <w:r>
              <w:rPr>
                <w:b/>
                <w:color w:val="000000"/>
                <w:sz w:val="22"/>
              </w:rPr>
              <w:t>史地器材</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地理教学仪器</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82</w:t>
            </w:r>
          </w:p>
        </w:tc>
        <w:tc>
          <w:tcPr>
            <w:tcW w:type="dxa" w:w="1474"/>
            <w:tcBorders>
              <w:top w:val="none" w:color="000000" w:sz="4"/>
              <w:left w:val="none" w:color="000000" w:sz="4"/>
              <w:bottom w:val="single" w:color="000000" w:sz="4"/>
              <w:right w:val="single" w:color="000000" w:sz="4"/>
            </w:tcBorders>
            <w:shd w:fill="FFFFFF"/>
            <w:vAlign w:val="top"/>
          </w:tcPr>
          <w:p>
            <w:pPr>
              <w:jc w:val="center"/>
            </w:pPr>
            <w:r>
              <w:rPr>
                <w:b/>
                <w:color w:val="000000"/>
                <w:sz w:val="22"/>
              </w:rPr>
              <w:t>音乐器材</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管乐团室器材</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批</w:t>
            </w:r>
          </w:p>
        </w:tc>
      </w:tr>
      <w:tr>
        <w:tc>
          <w:tcPr>
            <w:tcW w:type="dxa" w:w="496"/>
            <w:tcBorders>
              <w:top w:val="none" w:color="000000" w:sz="4"/>
              <w:left w:val="single" w:color="000000" w:sz="4"/>
              <w:bottom w:val="single" w:color="000000" w:sz="4"/>
              <w:right w:val="single" w:color="000000" w:sz="4"/>
            </w:tcBorders>
            <w:shd w:fill="FFFFFF"/>
            <w:vAlign w:val="top"/>
          </w:tcPr>
          <w:p>
            <w:pPr>
              <w:jc w:val="center"/>
            </w:pPr>
            <w:r>
              <w:rPr>
                <w:color w:val="000000"/>
                <w:sz w:val="21"/>
              </w:rPr>
              <w:t>83</w:t>
            </w:r>
          </w:p>
        </w:tc>
        <w:tc>
          <w:tcPr>
            <w:tcW w:type="dxa" w:w="1474"/>
            <w:tcBorders>
              <w:top w:val="none" w:color="000000" w:sz="4"/>
              <w:left w:val="none" w:color="000000" w:sz="4"/>
              <w:bottom w:val="single" w:color="000000" w:sz="4"/>
              <w:right w:val="single" w:color="000000" w:sz="4"/>
            </w:tcBorders>
            <w:shd w:fill="FFFFFF"/>
            <w:vAlign w:val="top"/>
          </w:tcPr>
          <w:p>
            <w:pPr>
              <w:jc w:val="center"/>
            </w:pPr>
            <w:r>
              <w:rPr>
                <w:b/>
                <w:color w:val="000000"/>
                <w:sz w:val="22"/>
              </w:rPr>
              <w:t>多媒体教学平台</w:t>
            </w:r>
          </w:p>
        </w:tc>
        <w:tc>
          <w:tcPr>
            <w:tcW w:type="dxa" w:w="2350"/>
            <w:tcBorders>
              <w:top w:val="none" w:color="000000" w:sz="4"/>
              <w:left w:val="none" w:color="000000" w:sz="4"/>
              <w:bottom w:val="single" w:color="000000" w:sz="4"/>
              <w:right w:val="single" w:color="000000" w:sz="4"/>
            </w:tcBorders>
            <w:shd w:fill="FFFFFF"/>
            <w:vAlign w:val="top"/>
          </w:tcPr>
          <w:p>
            <w:pPr>
              <w:jc w:val="both"/>
            </w:pPr>
            <w:r>
              <w:rPr>
                <w:b/>
                <w:color w:val="000000"/>
                <w:sz w:val="21"/>
              </w:rPr>
              <w:t>实验室、功能室多媒体教学平台</w:t>
            </w:r>
          </w:p>
        </w:tc>
        <w:tc>
          <w:tcPr>
            <w:tcW w:type="dxa" w:w="2087"/>
            <w:tcBorders>
              <w:top w:val="none" w:color="000000" w:sz="4"/>
              <w:left w:val="none" w:color="000000" w:sz="4"/>
              <w:bottom w:val="single" w:color="000000" w:sz="4"/>
              <w:right w:val="single" w:color="000000" w:sz="4"/>
            </w:tcBorders>
            <w:shd w:fill="FFFFFF"/>
            <w:vAlign w:val="top"/>
          </w:tcPr>
          <w:p>
            <w:pPr>
              <w:jc w:val="center"/>
            </w:pPr>
            <w:r>
              <w:rPr>
                <w:b/>
                <w:color w:val="000000"/>
                <w:sz w:val="21"/>
              </w:rPr>
              <w:t>中国教育行业标准</w:t>
            </w:r>
          </w:p>
        </w:tc>
        <w:tc>
          <w:tcPr>
            <w:tcW w:type="dxa" w:w="744"/>
            <w:tcBorders>
              <w:top w:val="none" w:color="000000" w:sz="4"/>
              <w:left w:val="none" w:color="000000" w:sz="4"/>
              <w:bottom w:val="single" w:color="000000" w:sz="4"/>
              <w:right w:val="single" w:color="000000" w:sz="4"/>
            </w:tcBorders>
            <w:shd w:fill="FFFFFF"/>
            <w:vAlign w:val="top"/>
          </w:tcPr>
          <w:p>
            <w:pPr>
              <w:jc w:val="center"/>
            </w:pPr>
            <w:r>
              <w:rPr>
                <w:b/>
                <w:color w:val="000000"/>
                <w:sz w:val="21"/>
              </w:rPr>
              <w:t>1</w:t>
            </w:r>
          </w:p>
        </w:tc>
        <w:tc>
          <w:tcPr>
            <w:tcW w:type="dxa" w:w="1109"/>
            <w:tcBorders>
              <w:top w:val="none" w:color="000000" w:sz="4"/>
              <w:left w:val="none" w:color="000000" w:sz="4"/>
              <w:bottom w:val="single" w:color="000000" w:sz="4"/>
              <w:right w:val="single" w:color="000000" w:sz="4"/>
            </w:tcBorders>
            <w:shd w:fill="FFFFFF"/>
            <w:vAlign w:val="top"/>
          </w:tcPr>
          <w:p>
            <w:pPr>
              <w:jc w:val="center"/>
            </w:pPr>
            <w:r>
              <w:rPr>
                <w:b/>
                <w:color w:val="000000"/>
                <w:sz w:val="21"/>
              </w:rPr>
              <w:t>项</w:t>
            </w:r>
          </w:p>
        </w:tc>
      </w:tr>
    </w:tbl>
    <w:p>
      <w:pPr>
        <w:ind w:firstLine="421"/>
        <w:jc w:val="both"/>
      </w:pPr>
    </w:p>
    <w:p>
      <w:pPr>
        <w:ind w:firstLine="421"/>
        <w:jc w:val="both"/>
      </w:pPr>
      <w:r>
        <w:rPr>
          <w:b/>
          <w:sz w:val="21"/>
        </w:rPr>
        <w:t>（三）报价说明</w:t>
      </w:r>
    </w:p>
    <w:p>
      <w:pPr>
        <w:ind w:firstLine="420"/>
        <w:jc w:val="both"/>
      </w:pPr>
      <w:r>
        <w:rPr>
          <w:sz w:val="21"/>
        </w:rPr>
        <w:t>1.</w:t>
      </w:r>
      <w:r>
        <w:rPr>
          <w:sz w:val="21"/>
        </w:rPr>
        <w:t>本项目的采购预算总金额为</w:t>
      </w:r>
      <w:r>
        <w:rPr>
          <w:sz w:val="21"/>
        </w:rPr>
        <w:t>24449865.5</w:t>
      </w:r>
      <w:r>
        <w:rPr>
          <w:sz w:val="21"/>
        </w:rPr>
        <w:t>元，投标人的报价不得高于对应采购包的项目预算金额（最高限价），否则为无效投标。</w:t>
      </w:r>
    </w:p>
    <w:p>
      <w:pPr>
        <w:ind w:firstLine="420"/>
        <w:jc w:val="both"/>
      </w:pPr>
      <w:r>
        <w:rPr>
          <w:sz w:val="21"/>
        </w:rPr>
        <w:t>2.</w:t>
      </w:r>
      <w:r>
        <w:rPr>
          <w:sz w:val="21"/>
        </w:rPr>
        <w:t>本项目为固定总价承包项目，投标人中标后负责招标文件对中标人要求的一切事宜及责任。</w:t>
      </w:r>
    </w:p>
    <w:p>
      <w:pPr>
        <w:ind w:firstLine="420"/>
        <w:jc w:val="both"/>
      </w:pPr>
      <w:r>
        <w:rPr>
          <w:sz w:val="21"/>
        </w:rPr>
        <w:t>3.</w:t>
      </w:r>
      <w:r>
        <w:rPr>
          <w:sz w:val="21"/>
        </w:rPr>
        <w:t>本项目投标报价应包括：货物、人工费、材料费、包装、运输（含二次运输）、装卸、安装调试、人员培训、验收、检验、税收、保险、备品备件、专业工具、售后服务、质保期内维保等伴随的服务及实施过程中的不可预见费用等全部费用。</w:t>
      </w:r>
    </w:p>
    <w:p>
      <w:pPr>
        <w:ind w:firstLine="420"/>
        <w:jc w:val="both"/>
      </w:pPr>
      <w:r>
        <w:rPr>
          <w:sz w:val="21"/>
        </w:rPr>
        <w:t>4.</w:t>
      </w:r>
      <w:r>
        <w:rPr>
          <w:sz w:val="21"/>
        </w:rPr>
        <w:t>中标人在报价中及项目实施过程中如有任何遗漏，均被视为遗漏部分价格已经包含在总价中（中标人自行负责），采购人不再支付任何费用。</w:t>
      </w:r>
    </w:p>
    <w:p>
      <w:pPr>
        <w:ind w:firstLine="421"/>
        <w:jc w:val="both"/>
      </w:pPr>
    </w:p>
    <w:p>
      <w:pPr>
        <w:ind w:firstLine="421"/>
        <w:jc w:val="both"/>
      </w:pPr>
      <w:r>
        <w:rPr>
          <w:b/>
          <w:sz w:val="21"/>
        </w:rPr>
        <w:t>（四）项目兼投兼中规则：</w:t>
      </w:r>
      <w:r>
        <w:rPr>
          <w:sz w:val="21"/>
        </w:rPr>
        <w:t>无</w:t>
      </w:r>
      <w:r>
        <w:rPr>
          <w:sz w:val="21"/>
        </w:rPr>
        <w:t>。</w:t>
      </w:r>
    </w:p>
    <w:p>
      <w:pPr>
        <w:ind w:firstLine="420"/>
        <w:jc w:val="both"/>
      </w:pPr>
      <w:r>
        <w:rPr>
          <w:sz w:val="21"/>
        </w:rPr>
        <w:t>说明：具体按以下程序确认中标候选人。</w:t>
      </w:r>
    </w:p>
    <w:p>
      <w:pPr>
        <w:ind w:firstLine="420"/>
        <w:jc w:val="both"/>
      </w:pPr>
      <w:r>
        <w:rPr>
          <w:sz w:val="21"/>
        </w:rPr>
        <w:t>1.</w:t>
      </w:r>
      <w:r>
        <w:rPr>
          <w:sz w:val="21"/>
        </w:rPr>
        <w:t>采购包</w:t>
      </w:r>
      <w:r>
        <w:rPr>
          <w:sz w:val="21"/>
        </w:rPr>
        <w:t>1</w:t>
      </w:r>
      <w:r>
        <w:rPr>
          <w:sz w:val="21"/>
        </w:rPr>
        <w:t>：根据综合得分由高到低排序，推荐排名第一的投标人为第一中标候选人，推荐排名第二的投标人为第二中标候选人；</w:t>
      </w:r>
    </w:p>
    <w:p>
      <w:pPr>
        <w:ind w:firstLine="421"/>
        <w:jc w:val="both"/>
      </w:pPr>
    </w:p>
    <w:p>
      <w:pPr>
        <w:jc w:val="both"/>
      </w:pPr>
    </w:p>
    <w:p>
      <w:pPr>
        <w:ind w:firstLine="421"/>
        <w:jc w:val="both"/>
      </w:pPr>
      <w:r>
        <w:rPr>
          <w:b/>
          <w:sz w:val="21"/>
        </w:rPr>
        <w:t>（</w:t>
      </w:r>
      <w:r>
        <w:rPr>
          <w:b/>
          <w:sz w:val="21"/>
        </w:rPr>
        <w:t>五</w:t>
      </w:r>
      <w:r>
        <w:rPr>
          <w:b/>
          <w:sz w:val="21"/>
        </w:rPr>
        <w:t>）建设服务要求：</w:t>
      </w:r>
    </w:p>
    <w:p>
      <w:pPr>
        <w:ind w:firstLine="420"/>
        <w:jc w:val="both"/>
      </w:pPr>
      <w:r>
        <w:rPr>
          <w:sz w:val="21"/>
        </w:rPr>
        <w:t>1.</w:t>
      </w:r>
      <w:r>
        <w:rPr>
          <w:sz w:val="21"/>
        </w:rPr>
        <w:t>建设所需货物放置地点：中标人须按照采购人的要求将货物运输、搬运到指定地方（包括搬运上楼）。</w:t>
      </w:r>
    </w:p>
    <w:p>
      <w:pPr>
        <w:ind w:firstLine="420"/>
        <w:jc w:val="both"/>
      </w:pPr>
      <w:r>
        <w:rPr>
          <w:sz w:val="21"/>
        </w:rPr>
        <w:t>2.</w:t>
      </w:r>
      <w:r>
        <w:rPr>
          <w:sz w:val="21"/>
        </w:rPr>
        <w:t>合同履行期限：自签订合同后</w:t>
      </w:r>
      <w:r>
        <w:rPr>
          <w:sz w:val="21"/>
        </w:rPr>
        <w:t>45</w:t>
      </w:r>
      <w:r>
        <w:rPr>
          <w:sz w:val="21"/>
        </w:rPr>
        <w:t>个日历日内中标人把建设所需货物送至采购人指定地点并完成建设任务（包括优化设计、供货、安装、调试等工作）并通过采购人验收，验收合格后于</w:t>
      </w:r>
      <w:r>
        <w:rPr>
          <w:sz w:val="21"/>
        </w:rPr>
        <w:t>30</w:t>
      </w:r>
      <w:r>
        <w:rPr>
          <w:sz w:val="21"/>
        </w:rPr>
        <w:t>日历日内组织采购人相关使用老师进行系统性操作培训。</w:t>
      </w:r>
    </w:p>
    <w:p>
      <w:pPr>
        <w:ind w:firstLine="420"/>
        <w:jc w:val="both"/>
      </w:pPr>
      <w:r>
        <w:rPr>
          <w:sz w:val="21"/>
        </w:rPr>
        <w:t>3.</w:t>
      </w:r>
      <w:r>
        <w:rPr>
          <w:sz w:val="21"/>
        </w:rPr>
        <w:t>相关实验室和功能室交付以后采购人有权对其进行甲醛及质量检测，所产生的检测费用全部由中标人承担。</w:t>
      </w:r>
    </w:p>
    <w:p>
      <w:pPr>
        <w:ind w:firstLine="420"/>
        <w:jc w:val="both"/>
      </w:pPr>
      <w:r>
        <w:rPr>
          <w:sz w:val="21"/>
        </w:rPr>
        <w:t>4.</w:t>
      </w:r>
      <w:r>
        <w:rPr>
          <w:sz w:val="21"/>
        </w:rPr>
        <w:t>相关实验室和功能室交付时，所有木制产品脚需加嵌入式防滑防潮脚套。</w:t>
      </w:r>
    </w:p>
    <w:p>
      <w:pPr>
        <w:ind w:firstLine="420"/>
        <w:jc w:val="both"/>
      </w:pPr>
      <w:r>
        <w:rPr>
          <w:sz w:val="21"/>
        </w:rPr>
        <w:t>5.</w:t>
      </w:r>
      <w:r>
        <w:rPr>
          <w:sz w:val="21"/>
        </w:rPr>
        <w:t>建设过程中关键部分产品在实际生产供货前，中标人需与采购人保持密切沟通，采购人认为有必要提前做好样品与采购人确定大小、型号、尺寸、颜色的，需等采购人确认无误后再批量生产供货投入建设。</w:t>
      </w:r>
    </w:p>
    <w:p>
      <w:pPr>
        <w:ind w:firstLine="420"/>
        <w:jc w:val="both"/>
      </w:pPr>
      <w:r>
        <w:rPr>
          <w:sz w:val="21"/>
        </w:rPr>
        <w:t>6.</w:t>
      </w:r>
      <w:r>
        <w:rPr>
          <w:sz w:val="21"/>
        </w:rPr>
        <w:t>投标人必须确保设备及所有配套件的完整性和可靠性。对于招标文件没有列出，而对该设备的正常运行和维护必不可少的部件、配件等，投标人有责任给予补充。</w:t>
      </w:r>
    </w:p>
    <w:p>
      <w:pPr>
        <w:ind w:firstLine="420"/>
        <w:jc w:val="both"/>
      </w:pPr>
      <w:r>
        <w:rPr>
          <w:sz w:val="21"/>
        </w:rPr>
        <w:t>7.</w:t>
      </w:r>
      <w:r>
        <w:rPr>
          <w:sz w:val="21"/>
        </w:rPr>
        <w:t>建设工作各环节（包括但不限于优化设计、供货、安装、调试、验收、培训等工作）均由中标人负责实施，直至可直接使用后安排相应培训，并对各实验室及功能室的使用进行保障服务。</w:t>
      </w:r>
    </w:p>
    <w:p>
      <w:pPr>
        <w:ind w:firstLine="420"/>
        <w:jc w:val="both"/>
      </w:pPr>
      <w:r>
        <w:rPr>
          <w:sz w:val="21"/>
        </w:rPr>
        <w:t>8.</w:t>
      </w:r>
      <w:r>
        <w:rPr>
          <w:sz w:val="21"/>
        </w:rPr>
        <w:t>提供的所有货物来源途径均合法合规。</w:t>
      </w:r>
    </w:p>
    <w:p>
      <w:pPr>
        <w:ind w:firstLine="420"/>
        <w:jc w:val="both"/>
      </w:pPr>
      <w:r>
        <w:rPr>
          <w:sz w:val="21"/>
        </w:rPr>
        <w:t>9.</w:t>
      </w:r>
      <w:r>
        <w:rPr>
          <w:sz w:val="21"/>
        </w:rPr>
        <w:t>项目安装所需的材料、部件及成品须为原制造商制造的全新产品，无污染，无侵权行为、无任何缺陷隐患，产品质量符合国家标准，在中国境内可依常规安全合法使用。若存在以上违法行为，则由中标人承担相应法律责任并赔偿采购人相应损失。</w:t>
      </w:r>
    </w:p>
    <w:p>
      <w:pPr>
        <w:ind w:firstLine="421"/>
        <w:jc w:val="both"/>
      </w:pPr>
    </w:p>
    <w:p>
      <w:pPr>
        <w:ind w:firstLine="421"/>
        <w:jc w:val="both"/>
      </w:pPr>
      <w:r>
        <w:rPr>
          <w:b/>
          <w:sz w:val="21"/>
        </w:rPr>
        <w:t>（</w:t>
      </w:r>
      <w:r>
        <w:rPr>
          <w:b/>
          <w:sz w:val="21"/>
        </w:rPr>
        <w:t>六</w:t>
      </w:r>
      <w:r>
        <w:rPr>
          <w:b/>
          <w:sz w:val="21"/>
        </w:rPr>
        <w:t>）优化设计要求</w:t>
      </w:r>
    </w:p>
    <w:p>
      <w:pPr>
        <w:ind w:firstLine="420"/>
        <w:jc w:val="both"/>
      </w:pPr>
      <w:r>
        <w:rPr>
          <w:sz w:val="21"/>
        </w:rPr>
        <w:t>1.</w:t>
      </w:r>
      <w:r>
        <w:rPr>
          <w:sz w:val="21"/>
        </w:rPr>
        <w:t>中标人应根据学校现有实验室、功能室土建现状基础进行研究，设计好总体空间结构与功能布局、空间利用与空间形态、开敞空间及密闭空间比例等方案，同时融入采购人学校特殊文化元素。</w:t>
      </w:r>
    </w:p>
    <w:p>
      <w:pPr>
        <w:ind w:firstLine="420"/>
        <w:jc w:val="both"/>
      </w:pPr>
      <w:r>
        <w:rPr>
          <w:sz w:val="21"/>
        </w:rPr>
        <w:t>2.</w:t>
      </w:r>
      <w:r>
        <w:rPr>
          <w:sz w:val="21"/>
        </w:rPr>
        <w:t>采购人建设前应该与采购人进行充分沟通，采购人认为有必要的，需要将空间设计方案先报采购人审核通过后才投入建设。</w:t>
      </w:r>
    </w:p>
    <w:p>
      <w:pPr>
        <w:jc w:val="both"/>
      </w:pPr>
    </w:p>
    <w:p>
      <w:pPr>
        <w:ind w:firstLine="421"/>
        <w:jc w:val="both"/>
      </w:pPr>
      <w:r>
        <w:rPr>
          <w:b/>
          <w:sz w:val="21"/>
        </w:rPr>
        <w:t>（</w:t>
      </w:r>
      <w:r>
        <w:rPr>
          <w:b/>
          <w:sz w:val="21"/>
        </w:rPr>
        <w:t>七</w:t>
      </w:r>
      <w:r>
        <w:rPr>
          <w:b/>
          <w:sz w:val="21"/>
        </w:rPr>
        <w:t>）质保期及售后服务</w:t>
      </w:r>
    </w:p>
    <w:p>
      <w:pPr>
        <w:ind w:firstLine="420"/>
        <w:jc w:val="both"/>
      </w:pPr>
      <w:r>
        <w:rPr>
          <w:sz w:val="21"/>
        </w:rPr>
        <w:t>1.</w:t>
      </w:r>
      <w:r>
        <w:rPr>
          <w:sz w:val="21"/>
        </w:rPr>
        <w:t>货物及配件保质期不低于</w:t>
      </w:r>
      <w:r>
        <w:rPr>
          <w:sz w:val="21"/>
        </w:rPr>
        <w:t>5</w:t>
      </w:r>
      <w:r>
        <w:rPr>
          <w:sz w:val="21"/>
        </w:rPr>
        <w:t>年（期间提供），若货物及配件具体参数中对具体货物（配件）质保期有特殊或更优要求的，则从其规定，质保期内免费提供维修。若国家标准（或行业标准）规定的质量保证期高于本项目招标文件的期限要求，则按国家标准（或行业标准）执行。</w:t>
      </w:r>
    </w:p>
    <w:p>
      <w:pPr>
        <w:ind w:firstLine="420"/>
        <w:jc w:val="both"/>
      </w:pPr>
      <w:r>
        <w:rPr>
          <w:sz w:val="21"/>
        </w:rPr>
        <w:t>2.</w:t>
      </w:r>
      <w:r>
        <w:rPr>
          <w:sz w:val="21"/>
        </w:rPr>
        <w:t>所有产品保修服务方式均为上门保修，即由中标人派相关资质人员到采购人产品使用现场维修。</w:t>
      </w:r>
    </w:p>
    <w:p>
      <w:pPr>
        <w:ind w:firstLine="420"/>
        <w:jc w:val="both"/>
      </w:pPr>
      <w:r>
        <w:rPr>
          <w:sz w:val="21"/>
        </w:rPr>
        <w:t>3.</w:t>
      </w:r>
      <w:r>
        <w:rPr>
          <w:sz w:val="21"/>
        </w:rPr>
        <w:t>在质保期内，中标人应无条件提供产品维修及保养服务，一切维护费用均由中标人负责。质保期内产品本身质量出现问题或由于产品本身质量原因造成的任何损伤或损坏，中标人应及时给予维修或更换，由此引起的施工费、人工费、材料费等其它一切费用由中标人负责；不能维修的，整体无条件更换；人为原因造成的损坏只收取配件费不收取人工费。</w:t>
      </w:r>
    </w:p>
    <w:p>
      <w:pPr>
        <w:ind w:firstLine="420"/>
        <w:jc w:val="both"/>
      </w:pPr>
      <w:r>
        <w:rPr>
          <w:sz w:val="21"/>
        </w:rPr>
        <w:t>4.</w:t>
      </w:r>
      <w:r>
        <w:rPr>
          <w:sz w:val="21"/>
        </w:rPr>
        <w:t>质保期内，中标人接到用户维修通知后</w:t>
      </w:r>
      <w:r>
        <w:rPr>
          <w:sz w:val="21"/>
        </w:rPr>
        <w:t>24</w:t>
      </w:r>
      <w:r>
        <w:rPr>
          <w:sz w:val="21"/>
        </w:rPr>
        <w:t>小时内到场处理，如果在</w:t>
      </w:r>
      <w:r>
        <w:rPr>
          <w:sz w:val="21"/>
        </w:rPr>
        <w:t>24</w:t>
      </w:r>
      <w:r>
        <w:rPr>
          <w:sz w:val="21"/>
        </w:rPr>
        <w:t>小时后仍无法解决，中标人应在</w:t>
      </w:r>
      <w:r>
        <w:rPr>
          <w:sz w:val="21"/>
        </w:rPr>
        <w:t>24</w:t>
      </w:r>
      <w:r>
        <w:rPr>
          <w:sz w:val="21"/>
        </w:rPr>
        <w:t>小时内提供不低于原货物规格型号档次的备用货物给采购人使用，直至原货物修复</w:t>
      </w:r>
      <w:r>
        <w:rPr>
          <w:sz w:val="21"/>
        </w:rPr>
        <w:t>,</w:t>
      </w:r>
      <w:r>
        <w:rPr>
          <w:sz w:val="21"/>
        </w:rPr>
        <w:t>中标人负责所有因货物质量问题而产生的费用。</w:t>
      </w:r>
    </w:p>
    <w:p>
      <w:pPr>
        <w:ind w:firstLine="420"/>
        <w:jc w:val="both"/>
      </w:pPr>
      <w:r>
        <w:rPr>
          <w:sz w:val="21"/>
        </w:rPr>
        <w:t>5.</w:t>
      </w:r>
      <w:r>
        <w:rPr>
          <w:sz w:val="21"/>
        </w:rPr>
        <w:t>质保期内，如产品或零部件因非人为因素出现故障而造成短期停用时，应提供合格的同型号备用产品给采购人维持工作，质保期相应顺延；如停用时间累计超过</w:t>
      </w:r>
      <w:r>
        <w:rPr>
          <w:sz w:val="21"/>
        </w:rPr>
        <w:t>60</w:t>
      </w:r>
      <w:r>
        <w:rPr>
          <w:sz w:val="21"/>
        </w:rPr>
        <w:t>天则质保期重新计算。中标人两次维修仍不能达到合同约定的质量标准和厂家的质量标准，采购人有权退货，并依法追究中标人的违约责任。</w:t>
      </w:r>
    </w:p>
    <w:p>
      <w:pPr>
        <w:ind w:firstLine="420"/>
        <w:jc w:val="both"/>
      </w:pPr>
      <w:r>
        <w:rPr>
          <w:sz w:val="21"/>
        </w:rPr>
        <w:t>6.</w:t>
      </w:r>
      <w:r>
        <w:rPr>
          <w:sz w:val="21"/>
        </w:rPr>
        <w:t>在质保期内，中标人需对所提供的产品整机（整件）定期检查和保养，并且保证每季度上门检修、保养一次，不再向采购人收取费用。</w:t>
      </w:r>
    </w:p>
    <w:p>
      <w:pPr>
        <w:ind w:firstLine="420"/>
        <w:jc w:val="both"/>
      </w:pPr>
      <w:r>
        <w:rPr>
          <w:sz w:val="21"/>
        </w:rPr>
        <w:t>7.</w:t>
      </w:r>
      <w:r>
        <w:rPr>
          <w:sz w:val="21"/>
        </w:rPr>
        <w:t>培训需使产品使用人充分了解产品构成、基本原理，并熟练掌握产品的安装、运行和维护等。</w:t>
      </w:r>
    </w:p>
    <w:p>
      <w:pPr>
        <w:ind w:firstLine="420"/>
        <w:jc w:val="both"/>
      </w:pPr>
      <w:r>
        <w:rPr>
          <w:sz w:val="21"/>
        </w:rPr>
        <w:t>★8.</w:t>
      </w:r>
      <w:r>
        <w:rPr>
          <w:sz w:val="21"/>
        </w:rPr>
        <w:t>中标人中标后需要在项目所在地设置服务驻点，并且能够提供</w:t>
      </w:r>
      <w:r>
        <w:rPr>
          <w:b/>
          <w:sz w:val="21"/>
        </w:rPr>
        <w:t>充足的</w:t>
      </w:r>
      <w:r>
        <w:rPr>
          <w:sz w:val="21"/>
        </w:rPr>
        <w:t>备品备件产品</w:t>
      </w:r>
      <w:r>
        <w:rPr>
          <w:b/>
          <w:sz w:val="21"/>
        </w:rPr>
        <w:t>能对实验室、功能室、及相关仪器教具的使用提供保障服务。（响应方式：按照《技术和服务要求响应表》及表格下方</w:t>
      </w:r>
      <w:r>
        <w:rPr>
          <w:b/>
          <w:sz w:val="21"/>
        </w:rPr>
        <w:t>“</w:t>
      </w:r>
      <w:r>
        <w:rPr>
          <w:b/>
          <w:sz w:val="21"/>
        </w:rPr>
        <w:t>说明</w:t>
      </w:r>
      <w:r>
        <w:rPr>
          <w:b/>
          <w:sz w:val="21"/>
        </w:rPr>
        <w:t>”</w:t>
      </w:r>
      <w:r>
        <w:rPr>
          <w:b/>
          <w:sz w:val="21"/>
        </w:rPr>
        <w:t>的要求填写</w:t>
      </w:r>
      <w:r>
        <w:rPr>
          <w:b/>
          <w:sz w:val="21"/>
        </w:rPr>
        <w:t>,</w:t>
      </w:r>
      <w:r>
        <w:rPr>
          <w:b/>
          <w:sz w:val="21"/>
        </w:rPr>
        <w:t>不按规定填写视为无效，有效响应的应填写</w:t>
      </w:r>
      <w:r>
        <w:rPr>
          <w:b/>
          <w:sz w:val="21"/>
        </w:rPr>
        <w:t>“</w:t>
      </w:r>
      <w:r>
        <w:rPr>
          <w:b/>
          <w:sz w:val="21"/>
        </w:rPr>
        <w:t>正偏离</w:t>
      </w:r>
      <w:r>
        <w:rPr>
          <w:b/>
          <w:sz w:val="21"/>
        </w:rPr>
        <w:t>”</w:t>
      </w:r>
      <w:r>
        <w:rPr>
          <w:b/>
          <w:sz w:val="21"/>
        </w:rPr>
        <w:t>或</w:t>
      </w:r>
      <w:r>
        <w:rPr>
          <w:b/>
          <w:sz w:val="21"/>
        </w:rPr>
        <w:t>“</w:t>
      </w:r>
      <w:r>
        <w:rPr>
          <w:b/>
          <w:sz w:val="21"/>
        </w:rPr>
        <w:t>无偏离</w:t>
      </w:r>
      <w:r>
        <w:rPr>
          <w:b/>
          <w:sz w:val="21"/>
        </w:rPr>
        <w:t>”</w:t>
      </w:r>
      <w:r>
        <w:rPr>
          <w:b/>
          <w:sz w:val="21"/>
        </w:rPr>
        <w:t>。）</w:t>
      </w:r>
    </w:p>
    <w:p>
      <w:pPr>
        <w:ind w:firstLine="421"/>
        <w:jc w:val="both"/>
      </w:pPr>
    </w:p>
    <w:p>
      <w:pPr>
        <w:ind w:firstLine="421"/>
        <w:jc w:val="both"/>
      </w:pPr>
      <w:r>
        <w:rPr>
          <w:b/>
          <w:sz w:val="21"/>
        </w:rPr>
        <w:t>（</w:t>
      </w:r>
      <w:r>
        <w:rPr>
          <w:b/>
          <w:sz w:val="21"/>
        </w:rPr>
        <w:t>八</w:t>
      </w:r>
      <w:r>
        <w:rPr>
          <w:b/>
          <w:sz w:val="21"/>
        </w:rPr>
        <w:t>）付款方式</w:t>
      </w:r>
    </w:p>
    <w:p>
      <w:pPr>
        <w:ind w:firstLine="420"/>
        <w:jc w:val="both"/>
      </w:pPr>
      <w:r>
        <w:rPr>
          <w:sz w:val="21"/>
        </w:rPr>
        <w:t>1.</w:t>
      </w:r>
      <w:r>
        <w:rPr>
          <w:sz w:val="21"/>
        </w:rPr>
        <w:t>采购人按照以下方式支付：</w:t>
      </w:r>
    </w:p>
    <w:p>
      <w:pPr>
        <w:ind w:firstLine="420"/>
        <w:jc w:val="both"/>
      </w:pPr>
      <w:r>
        <w:rPr>
          <w:sz w:val="21"/>
        </w:rPr>
        <w:t>第一阶段（预付款）：</w:t>
      </w:r>
      <w:r>
        <w:rPr>
          <w:sz w:val="21"/>
        </w:rPr>
        <w:t>采购合同签订生效后，采购人支付合同总价的</w:t>
      </w:r>
      <w:r>
        <w:rPr>
          <w:sz w:val="21"/>
        </w:rPr>
        <w:t>3</w:t>
      </w:r>
      <w:r>
        <w:rPr>
          <w:sz w:val="21"/>
        </w:rPr>
        <w:t>0%</w:t>
      </w:r>
      <w:r>
        <w:rPr>
          <w:sz w:val="21"/>
        </w:rPr>
        <w:t>；</w:t>
      </w:r>
    </w:p>
    <w:p>
      <w:pPr>
        <w:ind w:firstLine="420"/>
        <w:jc w:val="both"/>
      </w:pPr>
      <w:r>
        <w:rPr>
          <w:sz w:val="21"/>
        </w:rPr>
        <w:t>第二阶段：</w:t>
      </w:r>
      <w:r>
        <w:rPr>
          <w:sz w:val="21"/>
        </w:rPr>
        <w:t>中标人完成优化设计、供货、安装</w:t>
      </w:r>
      <w:r>
        <w:rPr>
          <w:sz w:val="21"/>
        </w:rPr>
        <w:t>，</w:t>
      </w:r>
      <w:r>
        <w:rPr>
          <w:sz w:val="21"/>
        </w:rPr>
        <w:t>采购人支付合同总价的</w:t>
      </w:r>
      <w:r>
        <w:rPr>
          <w:sz w:val="21"/>
        </w:rPr>
        <w:t>4</w:t>
      </w:r>
      <w:r>
        <w:rPr>
          <w:sz w:val="21"/>
        </w:rPr>
        <w:t>0%</w:t>
      </w:r>
      <w:r>
        <w:rPr>
          <w:sz w:val="21"/>
        </w:rPr>
        <w:t>；</w:t>
      </w:r>
    </w:p>
    <w:p>
      <w:pPr>
        <w:ind w:firstLine="420"/>
        <w:jc w:val="both"/>
      </w:pPr>
      <w:r>
        <w:rPr>
          <w:sz w:val="21"/>
        </w:rPr>
        <w:t>第三阶段：</w:t>
      </w:r>
      <w:r>
        <w:rPr>
          <w:sz w:val="21"/>
        </w:rPr>
        <w:t>完成</w:t>
      </w:r>
      <w:r>
        <w:rPr>
          <w:sz w:val="21"/>
        </w:rPr>
        <w:t>调试、培训等工作并通过验收（合格），采购人支付合同总价的</w:t>
      </w:r>
      <w:r>
        <w:rPr>
          <w:sz w:val="21"/>
        </w:rPr>
        <w:t>25</w:t>
      </w:r>
      <w:r>
        <w:rPr>
          <w:sz w:val="21"/>
        </w:rPr>
        <w:t>%</w:t>
      </w:r>
      <w:r>
        <w:rPr>
          <w:sz w:val="21"/>
        </w:rPr>
        <w:t>；</w:t>
      </w:r>
    </w:p>
    <w:p>
      <w:pPr>
        <w:ind w:firstLine="420"/>
        <w:jc w:val="both"/>
      </w:pPr>
      <w:r>
        <w:rPr>
          <w:sz w:val="21"/>
        </w:rPr>
        <w:t>第四阶段：</w:t>
      </w:r>
      <w:r>
        <w:rPr>
          <w:sz w:val="21"/>
        </w:rPr>
        <w:t>项目验收合格之日起一年内，采购人支付合同总价的</w:t>
      </w:r>
      <w:r>
        <w:rPr>
          <w:sz w:val="21"/>
        </w:rPr>
        <w:t>5 %</w:t>
      </w:r>
      <w:r>
        <w:rPr>
          <w:sz w:val="21"/>
        </w:rPr>
        <w:t>；</w:t>
      </w:r>
    </w:p>
    <w:p>
      <w:pPr>
        <w:ind w:firstLine="420"/>
        <w:jc w:val="both"/>
      </w:pPr>
      <w:r>
        <w:rPr>
          <w:sz w:val="21"/>
        </w:rPr>
        <w:t>采购人在收到发票后</w:t>
      </w:r>
      <w:r>
        <w:rPr>
          <w:sz w:val="21"/>
        </w:rPr>
        <w:t>30</w:t>
      </w:r>
      <w:r>
        <w:rPr>
          <w:sz w:val="21"/>
        </w:rPr>
        <w:t>天内支付款项。如中标人逾期未开具有效的发票，采购人有权顺延付款时间。</w:t>
      </w:r>
    </w:p>
    <w:p>
      <w:pPr>
        <w:ind w:firstLine="420"/>
        <w:jc w:val="both"/>
      </w:pPr>
      <w:r>
        <w:rPr>
          <w:sz w:val="21"/>
        </w:rPr>
        <w:t>2.</w:t>
      </w:r>
      <w:r>
        <w:rPr>
          <w:sz w:val="21"/>
        </w:rPr>
        <w:t>中标人凭以下有效文件与采购人结算：</w:t>
      </w:r>
    </w:p>
    <w:p>
      <w:pPr>
        <w:ind w:firstLine="420"/>
        <w:jc w:val="both"/>
      </w:pPr>
      <w:r>
        <w:rPr>
          <w:sz w:val="21"/>
        </w:rPr>
        <w:t>（</w:t>
      </w:r>
      <w:r>
        <w:rPr>
          <w:sz w:val="21"/>
        </w:rPr>
        <w:t>1</w:t>
      </w:r>
      <w:r>
        <w:rPr>
          <w:sz w:val="21"/>
        </w:rPr>
        <w:t>）合同；</w:t>
      </w:r>
    </w:p>
    <w:p>
      <w:pPr>
        <w:ind w:firstLine="420"/>
        <w:jc w:val="both"/>
      </w:pPr>
      <w:r>
        <w:rPr>
          <w:sz w:val="21"/>
        </w:rPr>
        <w:t>（</w:t>
      </w:r>
      <w:r>
        <w:rPr>
          <w:sz w:val="21"/>
        </w:rPr>
        <w:t>2</w:t>
      </w:r>
      <w:r>
        <w:rPr>
          <w:sz w:val="21"/>
        </w:rPr>
        <w:t>）中标人开具的正式发票；</w:t>
      </w:r>
    </w:p>
    <w:p>
      <w:pPr>
        <w:ind w:firstLine="420"/>
        <w:jc w:val="both"/>
      </w:pPr>
      <w:r>
        <w:rPr>
          <w:sz w:val="21"/>
        </w:rPr>
        <w:t>（</w:t>
      </w:r>
      <w:r>
        <w:rPr>
          <w:sz w:val="21"/>
        </w:rPr>
        <w:t>3</w:t>
      </w:r>
      <w:r>
        <w:rPr>
          <w:sz w:val="21"/>
        </w:rPr>
        <w:t>）验收报告（加盖采购人印章）；</w:t>
      </w:r>
    </w:p>
    <w:p>
      <w:pPr>
        <w:ind w:firstLine="420"/>
        <w:jc w:val="both"/>
      </w:pPr>
      <w:r>
        <w:rPr>
          <w:sz w:val="21"/>
        </w:rPr>
        <w:t>（</w:t>
      </w:r>
      <w:r>
        <w:rPr>
          <w:sz w:val="21"/>
        </w:rPr>
        <w:t>4</w:t>
      </w:r>
      <w:r>
        <w:rPr>
          <w:sz w:val="21"/>
        </w:rPr>
        <w:t>）中标通知书。</w:t>
      </w:r>
    </w:p>
    <w:p>
      <w:pPr>
        <w:ind w:firstLine="481"/>
        <w:jc w:val="both"/>
      </w:pPr>
    </w:p>
    <w:p>
      <w:pPr>
        <w:ind w:firstLine="481"/>
        <w:jc w:val="both"/>
      </w:pPr>
      <w:r>
        <w:rPr>
          <w:b/>
          <w:sz w:val="24"/>
        </w:rPr>
        <w:t>五、采购包采购清单明细及其技术参数要求</w:t>
      </w:r>
    </w:p>
    <w:p>
      <w:pPr>
        <w:jc w:val="both"/>
      </w:pPr>
      <w:r>
        <w:rPr>
          <w:b/>
          <w:color w:val="000000"/>
          <w:sz w:val="21"/>
        </w:rPr>
        <w:t>（一）采购包</w:t>
      </w:r>
      <w:r>
        <w:rPr>
          <w:b/>
          <w:color w:val="000000"/>
          <w:sz w:val="21"/>
        </w:rPr>
        <w:t>1</w:t>
      </w:r>
      <w:r>
        <w:rPr>
          <w:b/>
          <w:color w:val="000000"/>
          <w:sz w:val="21"/>
        </w:rPr>
        <w:t>：</w:t>
      </w:r>
      <w:r>
        <w:rPr>
          <w:sz w:val="21"/>
        </w:rPr>
        <w:t>中山市华侨中学高中部二期扩建工程项目之工器具采购项目（包一）</w:t>
      </w:r>
    </w:p>
    <w:p>
      <w:pPr>
        <w:jc w:val="both"/>
      </w:pPr>
      <w:r>
        <w:rPr>
          <w:sz w:val="21"/>
        </w:rPr>
        <w:t>详见附件</w:t>
      </w:r>
      <w:r>
        <w:rPr>
          <w:sz w:val="21"/>
        </w:rPr>
        <w:t>明细表</w:t>
      </w:r>
    </w:p>
    <w:p>
      <w:pPr>
        <w:ind w:firstLine="481"/>
        <w:jc w:val="both"/>
      </w:pPr>
      <w:r>
        <w:rPr>
          <w:b/>
          <w:sz w:val="24"/>
        </w:rPr>
        <w:t>六、包装、运输、保管及保险</w:t>
      </w:r>
    </w:p>
    <w:p>
      <w:pPr>
        <w:ind w:firstLine="420"/>
        <w:jc w:val="both"/>
      </w:pPr>
      <w:r>
        <w:rPr>
          <w:sz w:val="21"/>
        </w:rPr>
        <w:t>1.</w:t>
      </w:r>
      <w:r>
        <w:rPr>
          <w:sz w:val="21"/>
        </w:rPr>
        <w:t>包装必须与运输方式相适应，应有良好的防湿、防锈、防潮、防雨、防腐及防碰撞的措施。包装方式的确定及包装费用均由中标人负责，凡由于包装不良造成的损失和由此产生的费用均由中标人承担。</w:t>
      </w:r>
    </w:p>
    <w:p>
      <w:pPr>
        <w:ind w:firstLine="420"/>
        <w:jc w:val="both"/>
      </w:pPr>
      <w:r>
        <w:rPr>
          <w:sz w:val="21"/>
        </w:rPr>
        <w:t>2.</w:t>
      </w:r>
      <w:r>
        <w:rPr>
          <w:sz w:val="21"/>
        </w:rPr>
        <w:t>包装应足以承受整个过程中的运输、转运、装卸、储存等，充分考虑到运输途中的各种情况（如暴露于恶劣气候等）和广东省、中山地区的气候特点，以及露天存放的需要。专用工具及备品备件应分别包装，并在包装箱外加以注明其用处。</w:t>
      </w:r>
    </w:p>
    <w:p>
      <w:pPr>
        <w:ind w:firstLine="420"/>
        <w:jc w:val="both"/>
      </w:pPr>
      <w:r>
        <w:rPr>
          <w:sz w:val="21"/>
        </w:rPr>
        <w:t>3.</w:t>
      </w:r>
      <w:r>
        <w:rPr>
          <w:sz w:val="21"/>
        </w:rPr>
        <w:t>装费、运费、装卸费已包含在投标报价内。</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如中标人在规定时间内不能履行合同，或不按要求改进，或不能交货，采购人有权终止合同，并不承担任何责任。</w:t>
      </w:r>
    </w:p>
    <w:p>
      <w:pPr>
        <w:ind w:firstLine="480"/>
        <w:jc w:val="both"/>
      </w:pPr>
    </w:p>
    <w:p>
      <w:pPr>
        <w:ind w:firstLine="480"/>
        <w:jc w:val="both"/>
      </w:pPr>
      <w:r>
        <w:rPr>
          <w:b/>
          <w:sz w:val="24"/>
        </w:rPr>
        <w:t>七、安装和验收</w:t>
      </w:r>
    </w:p>
    <w:p>
      <w:pPr>
        <w:ind w:firstLine="420"/>
        <w:jc w:val="both"/>
      </w:pPr>
      <w:r>
        <w:rPr>
          <w:sz w:val="21"/>
        </w:rPr>
        <w:t>1.</w:t>
      </w:r>
      <w:r>
        <w:rPr>
          <w:sz w:val="21"/>
        </w:rPr>
        <w:t>中标人应依照招标文件的要求和投标文件的承诺，将货物安装至正常使用的最佳状态。中标人将所有货物安装并调试完毕后，需提供有效资质的第三方检测机构出具的空气质量检测报告，检测项目包括：甲醛、苯、甲苯、二甲苯和</w:t>
      </w:r>
      <w:r>
        <w:rPr>
          <w:sz w:val="21"/>
        </w:rPr>
        <w:t>TVOC</w:t>
      </w:r>
      <w:r>
        <w:rPr>
          <w:sz w:val="21"/>
        </w:rPr>
        <w:t>等，检测点数不少于</w:t>
      </w:r>
      <w:r>
        <w:rPr>
          <w:sz w:val="21"/>
        </w:rPr>
        <w:t>20</w:t>
      </w:r>
      <w:r>
        <w:rPr>
          <w:sz w:val="21"/>
        </w:rPr>
        <w:t>个。如检测不合格，由中标人替换货物或实施空气净化方案，直至检测合格为止。货物安装期间及离场前，须保护好场地及各类设置，做好场地的卫生保洁工作，如造成损坏，须恢复原样或进行赔偿。</w:t>
      </w:r>
    </w:p>
    <w:p>
      <w:pPr>
        <w:ind w:firstLine="420"/>
        <w:jc w:val="both"/>
      </w:pPr>
      <w:r>
        <w:rPr>
          <w:sz w:val="21"/>
        </w:rPr>
        <w:t>2.</w:t>
      </w:r>
      <w:r>
        <w:rPr>
          <w:sz w:val="21"/>
        </w:rPr>
        <w:t>中标人在供货及安装过程中，必须服从采购人的计划安排和整体协调。</w:t>
      </w:r>
    </w:p>
    <w:p>
      <w:pPr>
        <w:ind w:firstLine="420"/>
        <w:jc w:val="both"/>
      </w:pPr>
      <w:r>
        <w:rPr>
          <w:sz w:val="21"/>
        </w:rPr>
        <w:t>3.</w:t>
      </w:r>
      <w:r>
        <w:rPr>
          <w:sz w:val="21"/>
        </w:rPr>
        <w:t>中标人应设项目负责人，负责安装协调管理工作。中标人派出的服务于本项目的项目负责人及主要技术团队人员应具备相应的资质及相关专业知识及技术水平，熟悉本合同所述相关货物的规格、技术指标及安装工艺，有足够能力安装本合同的货物并达到本合同的要求。</w:t>
      </w:r>
    </w:p>
    <w:p>
      <w:pPr>
        <w:ind w:firstLine="420"/>
        <w:jc w:val="both"/>
      </w:pPr>
      <w:r>
        <w:rPr>
          <w:sz w:val="21"/>
        </w:rPr>
        <w:t>4.</w:t>
      </w:r>
      <w:r>
        <w:rPr>
          <w:sz w:val="21"/>
        </w:rPr>
        <w:t>货物在安装验收合格前的保险由中标人负责，中标人负责其派出的现场服务人员人身意外保险。</w:t>
      </w:r>
    </w:p>
    <w:p>
      <w:pPr>
        <w:ind w:firstLine="420"/>
        <w:jc w:val="both"/>
      </w:pPr>
      <w:r>
        <w:rPr>
          <w:sz w:val="21"/>
        </w:rPr>
        <w:t>5.</w:t>
      </w:r>
      <w:r>
        <w:rPr>
          <w:sz w:val="21"/>
        </w:rPr>
        <w:t>中标人负责本项目所有货物的安装以及所有必须的工具及备件等。</w:t>
      </w:r>
    </w:p>
    <w:p>
      <w:pPr>
        <w:ind w:firstLine="420"/>
        <w:jc w:val="both"/>
      </w:pPr>
      <w:r>
        <w:rPr>
          <w:sz w:val="21"/>
        </w:rPr>
        <w:t>6.</w:t>
      </w:r>
      <w:r>
        <w:rPr>
          <w:sz w:val="21"/>
        </w:rPr>
        <w:t>投标人应给出项目详细的验收方案，包括验收项目、验收标准，验收实施办法等。</w:t>
      </w:r>
    </w:p>
    <w:p>
      <w:pPr>
        <w:ind w:firstLine="420"/>
        <w:jc w:val="both"/>
      </w:pPr>
      <w:r>
        <w:rPr>
          <w:sz w:val="21"/>
        </w:rPr>
        <w:t>7.</w:t>
      </w:r>
      <w:r>
        <w:rPr>
          <w:sz w:val="21"/>
        </w:rPr>
        <w:t>中标人依照国家相关验收规范、招标文件及投标文件要求对全部货物、产品、型号、规格、数量、外型、外观、包装及资料、文件（如装箱单、保修单、随箱介质等）进行验收。</w:t>
      </w:r>
    </w:p>
    <w:p>
      <w:pPr>
        <w:ind w:firstLine="420"/>
        <w:jc w:val="both"/>
      </w:pPr>
      <w:r>
        <w:rPr>
          <w:sz w:val="21"/>
        </w:rPr>
        <w:t>8.</w:t>
      </w:r>
      <w:r>
        <w:rPr>
          <w:sz w:val="21"/>
        </w:rPr>
        <w:t>如货物验收时发现货物的质量指标或功能上不符合招标文件和合同要求时，将被看作不合格，采购人有权拒收或要求赔偿。</w:t>
      </w:r>
    </w:p>
    <w:p>
      <w:pPr>
        <w:ind w:firstLine="420"/>
        <w:jc w:val="both"/>
      </w:pPr>
      <w:r>
        <w:rPr>
          <w:sz w:val="21"/>
        </w:rPr>
        <w:t>9.</w:t>
      </w:r>
      <w:r>
        <w:rPr>
          <w:sz w:val="21"/>
        </w:rPr>
        <w:t>验收由采购人验收小组、中标人及相关人员依国家有关标准、合同及有关附件要求进行。验收完毕由采购人及中标人在验收报告上签名。必要时邀请相关的专业人员或机构参与验收。因货物质量问题发生争议时，由本地质量技术监督部门（市场监督部门）鉴定。货物符合质量技术标准的，鉴定费由采购人承担；否则鉴定费由中标人承担。</w:t>
      </w:r>
    </w:p>
    <w:p>
      <w:pPr>
        <w:ind w:firstLine="420"/>
        <w:jc w:val="both"/>
      </w:pPr>
      <w:r>
        <w:rPr>
          <w:sz w:val="21"/>
        </w:rPr>
        <w:t>10.</w:t>
      </w:r>
      <w:r>
        <w:rPr>
          <w:sz w:val="21"/>
        </w:rPr>
        <w:t>最终验收前，中标人须提供所有的报告及文件。</w:t>
      </w:r>
    </w:p>
    <w:p>
      <w:pPr>
        <w:ind w:firstLine="420"/>
        <w:jc w:val="both"/>
      </w:pPr>
      <w:r>
        <w:rPr>
          <w:sz w:val="21"/>
        </w:rPr>
        <w:t>11.</w:t>
      </w:r>
      <w:r>
        <w:rPr>
          <w:sz w:val="21"/>
        </w:rPr>
        <w:t>最终验收在所有货物安装调试完毕后进行。在此期间中标人须派人员参加，若中标人所供货物出现问题，则中标人应及时维修并做好记录，该记录将作为安装调试的原始资料和验收结论。</w:t>
      </w:r>
    </w:p>
    <w:p>
      <w:pPr>
        <w:ind w:firstLine="420"/>
        <w:jc w:val="both"/>
      </w:pPr>
      <w:r>
        <w:rPr>
          <w:sz w:val="21"/>
        </w:rPr>
        <w:t>12.</w:t>
      </w:r>
      <w:r>
        <w:rPr>
          <w:sz w:val="21"/>
        </w:rPr>
        <w:t>中标人须为验收提供必需的一切条件及相关费用。</w:t>
      </w:r>
    </w:p>
    <w:p>
      <w:pPr>
        <w:ind w:firstLine="420"/>
        <w:jc w:val="both"/>
      </w:pPr>
      <w:r>
        <w:rPr>
          <w:sz w:val="21"/>
        </w:rPr>
        <w:t>13.</w:t>
      </w:r>
      <w:r>
        <w:rPr>
          <w:sz w:val="21"/>
        </w:rPr>
        <w:t>验收交付前的保管安全责任由中标人承担。</w:t>
      </w:r>
    </w:p>
    <w:p>
      <w:pPr>
        <w:ind w:firstLine="420"/>
        <w:jc w:val="both"/>
      </w:pPr>
      <w:r>
        <w:rPr>
          <w:sz w:val="21"/>
        </w:rPr>
        <w:t>14.</w:t>
      </w:r>
      <w:r>
        <w:rPr>
          <w:sz w:val="21"/>
        </w:rPr>
        <w:t>货物的部件必须有国家有关部门的认证合格证，投标人必须确保所投标产品中凡列入《中华人民共和国实施强制性产品认证的产品录》的产品已经获得</w:t>
      </w:r>
      <w:r>
        <w:rPr>
          <w:sz w:val="21"/>
        </w:rPr>
        <w:t>CCC</w:t>
      </w:r>
      <w:r>
        <w:rPr>
          <w:sz w:val="21"/>
        </w:rPr>
        <w:t>认证证书。</w:t>
      </w:r>
    </w:p>
    <w:p>
      <w:pPr>
        <w:ind w:firstLine="480"/>
        <w:jc w:val="both"/>
      </w:pPr>
    </w:p>
    <w:p>
      <w:pPr>
        <w:ind w:firstLine="480"/>
        <w:jc w:val="both"/>
      </w:pPr>
      <w:r>
        <w:rPr>
          <w:b/>
          <w:sz w:val="24"/>
        </w:rPr>
        <w:t>八、培训保障服务要求</w:t>
      </w:r>
    </w:p>
    <w:p>
      <w:pPr>
        <w:ind w:firstLine="420"/>
        <w:jc w:val="both"/>
      </w:pPr>
      <w:r>
        <w:rPr>
          <w:sz w:val="21"/>
        </w:rPr>
        <w:t>1.</w:t>
      </w:r>
      <w:r>
        <w:rPr>
          <w:sz w:val="21"/>
        </w:rPr>
        <w:t>验收合格后中标人应组织采购人相关使用老师进行系统性操作培训。</w:t>
      </w:r>
    </w:p>
    <w:p>
      <w:pPr>
        <w:ind w:firstLine="420"/>
        <w:jc w:val="both"/>
      </w:pPr>
      <w:r>
        <w:rPr>
          <w:sz w:val="21"/>
        </w:rPr>
        <w:t>2.</w:t>
      </w:r>
      <w:r>
        <w:rPr>
          <w:sz w:val="21"/>
        </w:rPr>
        <w:t>培训内容应详细易懂，可通过</w:t>
      </w:r>
      <w:r>
        <w:rPr>
          <w:sz w:val="21"/>
        </w:rPr>
        <w:t>PPT</w:t>
      </w:r>
      <w:r>
        <w:rPr>
          <w:sz w:val="21"/>
        </w:rPr>
        <w:t>讲课、播放视频、现场实操等方式进行开展。</w:t>
      </w:r>
    </w:p>
    <w:p>
      <w:pPr>
        <w:ind w:firstLine="420"/>
        <w:jc w:val="both"/>
      </w:pPr>
      <w:r>
        <w:rPr>
          <w:sz w:val="21"/>
        </w:rPr>
        <w:t>3.</w:t>
      </w:r>
      <w:r>
        <w:rPr>
          <w:sz w:val="21"/>
        </w:rPr>
        <w:t>培训效果应该确保相关使用人员能熟练使用相关设备及操作习惯的培养，应该配备使用操作指导联系人，保障老师在授课时设备的正常使用（授课过程中因设备故障或者操作不熟练导致的失误，应及时通过电话指导或现场处理进行解决）。</w:t>
      </w:r>
    </w:p>
    <w:p>
      <w:pPr>
        <w:ind w:firstLine="420"/>
        <w:jc w:val="both"/>
      </w:pPr>
      <w:r>
        <w:rPr>
          <w:sz w:val="21"/>
        </w:rPr>
        <w:t>4.</w:t>
      </w:r>
      <w:r>
        <w:rPr>
          <w:sz w:val="21"/>
        </w:rPr>
        <w:t>中标人应该配备详细的培训教材及使用说明书，方便老师查阅。</w:t>
      </w:r>
    </w:p>
    <w:p>
      <w:pPr>
        <w:ind w:firstLine="480"/>
        <w:jc w:val="both"/>
      </w:pPr>
    </w:p>
    <w:p>
      <w:pPr>
        <w:ind w:firstLine="480"/>
        <w:jc w:val="both"/>
      </w:pPr>
      <w:r>
        <w:rPr>
          <w:b/>
          <w:sz w:val="24"/>
        </w:rPr>
        <w:t>九、技术资料</w:t>
      </w:r>
    </w:p>
    <w:p>
      <w:pPr>
        <w:ind w:firstLine="420"/>
        <w:jc w:val="both"/>
      </w:pPr>
      <w:r>
        <w:rPr>
          <w:sz w:val="21"/>
        </w:rPr>
        <w:t>1.</w:t>
      </w:r>
      <w:r>
        <w:rPr>
          <w:sz w:val="21"/>
        </w:rPr>
        <w:t>验收前，中标人应归纳、整理完整的货物技术资料</w:t>
      </w:r>
      <w:r>
        <w:rPr>
          <w:sz w:val="21"/>
        </w:rPr>
        <w:t>3</w:t>
      </w:r>
      <w:r>
        <w:rPr>
          <w:sz w:val="21"/>
        </w:rPr>
        <w:t>套，中标人应于验收后向采购人提供验收报告</w:t>
      </w:r>
      <w:r>
        <w:rPr>
          <w:sz w:val="21"/>
        </w:rPr>
        <w:t>3</w:t>
      </w:r>
      <w:r>
        <w:rPr>
          <w:sz w:val="21"/>
        </w:rPr>
        <w:t>套。</w:t>
      </w:r>
    </w:p>
    <w:p>
      <w:pPr>
        <w:ind w:firstLine="420"/>
        <w:jc w:val="both"/>
      </w:pPr>
      <w:r>
        <w:rPr>
          <w:sz w:val="21"/>
        </w:rPr>
        <w:t>2.</w:t>
      </w:r>
      <w:r>
        <w:rPr>
          <w:sz w:val="21"/>
        </w:rPr>
        <w:t>技术文件：包括验收报告、完整的货物技术资料（包括但不限于货物的维护手册、保修证书）。</w:t>
      </w:r>
    </w:p>
    <w:p>
      <w:pPr>
        <w:ind w:firstLine="480"/>
        <w:jc w:val="both"/>
      </w:pPr>
    </w:p>
    <w:p>
      <w:pPr>
        <w:ind w:firstLine="480"/>
        <w:jc w:val="both"/>
      </w:pPr>
      <w:r>
        <w:rPr>
          <w:b/>
          <w:sz w:val="24"/>
        </w:rPr>
        <w:t>十、违约条款约定</w:t>
      </w:r>
    </w:p>
    <w:p>
      <w:pPr>
        <w:ind w:firstLine="420"/>
        <w:jc w:val="both"/>
      </w:pPr>
      <w:r>
        <w:rPr>
          <w:sz w:val="21"/>
        </w:rPr>
        <w:t>1.</w:t>
      </w:r>
      <w:r>
        <w:rPr>
          <w:sz w:val="21"/>
        </w:rPr>
        <w:t>投标人在投标文件中承诺的内容将作为以后（中标后）签订政府采购合同的内容，包括</w:t>
      </w:r>
      <w:r>
        <w:rPr>
          <w:sz w:val="21"/>
        </w:rPr>
        <w:t>★</w:t>
      </w:r>
      <w:r>
        <w:rPr>
          <w:sz w:val="21"/>
        </w:rPr>
        <w:t>条款、</w:t>
      </w:r>
      <w:r>
        <w:rPr>
          <w:sz w:val="21"/>
        </w:rPr>
        <w:t>▲</w:t>
      </w:r>
      <w:r>
        <w:rPr>
          <w:sz w:val="21"/>
        </w:rPr>
        <w:t>条款及一般条款的响应情况，投标人在履行合同过程中必须严格执行，在履行合同过程中无法满足</w:t>
      </w:r>
      <w:r>
        <w:rPr>
          <w:sz w:val="21"/>
        </w:rPr>
        <w:t>★</w:t>
      </w:r>
      <w:r>
        <w:rPr>
          <w:sz w:val="21"/>
        </w:rPr>
        <w:t>条款的相关要求将按中标人严重违约处理（采购人有权扣除较重的违约金甚至解除合同），在履行合同中无法满足</w:t>
      </w:r>
      <w:r>
        <w:rPr>
          <w:sz w:val="21"/>
        </w:rPr>
        <w:t>▲</w:t>
      </w:r>
      <w:r>
        <w:rPr>
          <w:sz w:val="21"/>
        </w:rPr>
        <w:t>条款及一般条款的相关要求将按中标人违约处理（采购人有权扣除一定的违约金甚至解除合同）。</w:t>
      </w:r>
    </w:p>
    <w:p>
      <w:pPr>
        <w:ind w:firstLine="420"/>
        <w:jc w:val="both"/>
      </w:pPr>
      <w:r>
        <w:rPr>
          <w:sz w:val="21"/>
        </w:rPr>
        <w:t>2.</w:t>
      </w:r>
      <w:r>
        <w:rPr>
          <w:sz w:val="21"/>
        </w:rPr>
        <w:t>投标人在投标文件中用于响应评分的建设服务方案、售后服务方案、培训方案等将作为以后（中标后）签订政府采购合同的内容，在履行合同过程中无法满足要求的将按中标人严重违约处理（采购人有权扣除一定的违约金甚至解除合同）。</w:t>
      </w:r>
    </w:p>
    <w:p>
      <w:pPr>
        <w:ind w:firstLine="420"/>
        <w:jc w:val="both"/>
      </w:pPr>
      <w:r>
        <w:rPr>
          <w:sz w:val="21"/>
        </w:rPr>
        <w:t>3.</w:t>
      </w:r>
      <w:r>
        <w:rPr>
          <w:sz w:val="21"/>
        </w:rPr>
        <w:t>投标人在投标文件中用于响应评分的委派具体人员（项目负责人及技术团队）为中标后委派人员，实际到场人员与投标文件中拟派具体人员不符的，将按中标人严重违约处理（采购人有权扣除较重的违约金甚至解除合同）。</w:t>
      </w:r>
    </w:p>
    <w:p>
      <w:pPr>
        <w:ind w:firstLine="480"/>
        <w:jc w:val="both"/>
      </w:pPr>
    </w:p>
    <w:p>
      <w:pPr>
        <w:ind w:firstLine="480"/>
        <w:jc w:val="both"/>
      </w:pPr>
      <w:r>
        <w:rPr>
          <w:b/>
          <w:sz w:val="24"/>
        </w:rPr>
        <w:t>十一、其他要求</w:t>
      </w:r>
    </w:p>
    <w:p>
      <w:pPr>
        <w:ind w:firstLine="420"/>
        <w:jc w:val="both"/>
      </w:pPr>
      <w:r>
        <w:rPr>
          <w:sz w:val="21"/>
        </w:rPr>
        <w:t>1.</w:t>
      </w:r>
      <w:r>
        <w:rPr>
          <w:sz w:val="21"/>
        </w:rPr>
        <w:t>所有货物在开箱检验时必须完好，无破损，配置与装箱单相符。货物外观清洁，标记编号以及盘面显示等字体清晰，明确。数量、质量及性能不低于本需求书中提出的要求。</w:t>
      </w:r>
    </w:p>
    <w:p>
      <w:pPr>
        <w:ind w:firstLine="420"/>
        <w:jc w:val="both"/>
      </w:pPr>
      <w:r>
        <w:rPr>
          <w:sz w:val="21"/>
        </w:rPr>
        <w:t>2.</w:t>
      </w:r>
      <w:r>
        <w:rPr>
          <w:sz w:val="21"/>
        </w:rPr>
        <w:t>对于影响货物正常工作的必要组成部分，无论在技术规范中指出与否，投标人都应提供并在投标文件中明确列出。</w:t>
      </w:r>
    </w:p>
    <w:p>
      <w:pPr>
        <w:ind w:firstLine="420"/>
        <w:jc w:val="both"/>
      </w:pPr>
      <w:r>
        <w:rPr>
          <w:sz w:val="21"/>
        </w:rPr>
        <w:t>3.</w:t>
      </w:r>
      <w:r>
        <w:rPr>
          <w:sz w:val="21"/>
        </w:rPr>
        <w:t>投标人投标时所提供的货物如在实际供货时已经停产（不列入该厂家当时的产品系统），如果未能按原价提供更优质的货物，则按违约处理。</w:t>
      </w:r>
    </w:p>
    <w:p>
      <w:pPr>
        <w:ind w:firstLine="420"/>
        <w:jc w:val="both"/>
      </w:pPr>
      <w:r>
        <w:rPr>
          <w:sz w:val="21"/>
        </w:rPr>
        <w:t>4.</w:t>
      </w:r>
      <w:r>
        <w:rPr>
          <w:sz w:val="21"/>
        </w:rPr>
        <w:t>投标人必须保证货物符合国家、地方、行业相关强制标准及验收标准，并通过验收后，再移交采购人。</w:t>
      </w:r>
    </w:p>
    <w:p>
      <w:pPr>
        <w:ind w:firstLine="420"/>
        <w:jc w:val="both"/>
      </w:pPr>
      <w:r>
        <w:rPr>
          <w:sz w:val="21"/>
        </w:rPr>
        <w:t>5.</w:t>
      </w:r>
      <w:r>
        <w:rPr>
          <w:sz w:val="21"/>
        </w:rPr>
        <w:t>中标人应保证所提供的货物，采购人在中华人民共和国境内使用任何一部分时，免受第三方提出的侵犯其专利权、商标权或其他知识产权的起诉。如发生此类纠纷，由投标人承担一切责任，并赔偿采购人及受害方因此遭受的全部损失（若属于采购人原因引起的，对中标人免责）。</w:t>
      </w:r>
    </w:p>
    <w:p>
      <w:pPr>
        <w:ind w:firstLine="420"/>
        <w:jc w:val="both"/>
      </w:pPr>
      <w:r>
        <w:rPr>
          <w:sz w:val="21"/>
        </w:rPr>
        <w:t>6.</w:t>
      </w:r>
      <w:r>
        <w:rPr>
          <w:sz w:val="21"/>
        </w:rPr>
        <w:t>中标人所投货物应当满足国家有关环保标准，保障使用人员健康，若违反国家相关规定，由中标人自行承担一切责任。</w:t>
      </w:r>
    </w:p>
    <w:p>
      <w:pPr>
        <w:ind w:firstLine="420"/>
        <w:jc w:val="both"/>
      </w:pPr>
      <w:r>
        <w:rPr>
          <w:sz w:val="21"/>
        </w:rPr>
        <w:t>7.</w:t>
      </w:r>
      <w:r>
        <w:rPr>
          <w:sz w:val="21"/>
        </w:rPr>
        <w:t>采购人有权在签订合同时对项目深化方案并实施，产品数量根据项目实际情况做适当修改调整，中标金额不变。</w:t>
      </w:r>
    </w:p>
    <w:p/>
    <w:p>
      <w:pPr>
        <w:ind w:firstLine="480"/>
      </w:pPr>
    </w:p>
    <w:p/>
    <w:p>
      <w:r>
        <w:rPr/>
        <w:t>采购包1（中山市华侨中学高中部二期扩建工程项目之工器具采购项目（包一））：</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签订合同后45个日历日内中标人把建设所需货物送至采购人指定地点并完成建设任务（包括优化设计、供货、安装、调试等工作）并通过采购人验收，验收合格后于30日历日内组织采购人相关使用老师进行系统性操作培训。</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1期：支付比例30%，第一阶段（预付款）：采购合同签订生效后，采购人支付合同总价的30%；</w:t>
            </w:r>
          </w:p>
          <w:p/>
          <w:p>
            <w:r>
              <w:rPr/>
              <w:t>2期：支付比例40%，第二阶段：中标人完成优化设计、供货、安装，采购人支付合同总价的40%；</w:t>
            </w:r>
          </w:p>
          <w:p/>
          <w:p>
            <w:r>
              <w:rPr/>
              <w:t>3期：支付比例25%，第三阶段：完成调试、培训等工作并通过验收（合格），采购人支付合同总价的25%；</w:t>
            </w:r>
          </w:p>
          <w:p/>
          <w:p>
            <w:r>
              <w:rPr/>
              <w:t>4期：支付比例5%，第四阶段：项目验收合格之日起一年内，采购人支付合同总价的 5 %； 采购人在收到发票后30天内支付款项。如中标人逾期未开具有效的发票，采购人有权顺延付款时间。 2.中标人凭以下有效文件与采购人结算： （1）合同； （2）中标人开具的正式发票； （3）验收报告（加盖采购人印章）； （4）中标通知书。</w:t>
            </w:r>
          </w:p>
        </w:tc>
      </w:tr>
      <w:tr>
        <w:tc>
          <w:tcPr>
            <w:tcW w:type="dxa" w:w="4153"/>
          </w:tcPr>
          <w:p>
            <w:r>
              <w:rPr/>
              <w:t>验收要求</w:t>
            </w:r>
          </w:p>
        </w:tc>
        <w:tc>
          <w:tcPr>
            <w:tcW w:type="dxa" w:w="4153"/>
          </w:tcPr>
          <w:p>
            <w:pPr>
              <w:jc w:val="left"/>
            </w:pPr>
          </w:p>
          <w:p/>
          <w:p/>
          <w:p>
            <w:r>
              <w:rPr/>
              <w:t>1期：按照采购人要求验收。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教学专用仪器</w:t>
            </w:r>
          </w:p>
        </w:tc>
        <w:tc>
          <w:tcPr>
            <w:tcW w:type="dxa" w:w="1923"/>
          </w:tcPr>
          <w:p>
            <w:r>
              <w:rPr/>
              <w:t>中山市华侨中学高中部二期扩建工程项目之工器具采购项目（包一）</w:t>
            </w:r>
          </w:p>
        </w:tc>
        <w:tc>
          <w:tcPr>
            <w:tcW w:type="dxa" w:w="385"/>
          </w:tcPr>
          <w:p>
            <w:r>
              <w:rPr/>
              <w:t>项</w:t>
            </w:r>
          </w:p>
        </w:tc>
        <w:tc>
          <w:tcPr>
            <w:tcW w:type="dxa" w:w="769"/>
          </w:tcPr>
          <w:p>
            <w:pPr>
              <w:jc w:val="right"/>
            </w:pPr>
            <w:r>
              <w:rPr/>
              <w:t>1.0000</w:t>
            </w:r>
          </w:p>
        </w:tc>
        <w:tc>
          <w:tcPr>
            <w:tcW w:type="dxa" w:w="769"/>
          </w:tcPr>
          <w:p>
            <w:pPr>
              <w:jc w:val="right"/>
            </w:pPr>
            <w:r>
              <w:rPr/>
              <w:t>24,071,865.50</w:t>
            </w:r>
          </w:p>
        </w:tc>
        <w:tc>
          <w:tcPr>
            <w:tcW w:type="dxa" w:w="769"/>
          </w:tcPr>
          <w:p>
            <w:pPr>
              <w:jc w:val="right"/>
            </w:pPr>
            <w:r>
              <w:rPr/>
              <w:t>24,071,865.50</w:t>
            </w:r>
          </w:p>
        </w:tc>
        <w:tc>
          <w:tcPr>
            <w:tcW w:type="dxa" w:w="769"/>
          </w:tcPr>
          <w:p>
            <w:r>
              <w:rPr/>
              <w:t>其他未列明行业</w:t>
            </w:r>
          </w:p>
        </w:tc>
        <w:tc>
          <w:tcPr>
            <w:tcW w:type="dxa" w:w="385"/>
          </w:tcPr>
          <w:p>
            <w:r>
              <w:rPr/>
              <w:t>详见附表一</w:t>
            </w:r>
          </w:p>
        </w:tc>
      </w:tr>
      <w:tr>
        <w:tc>
          <w:tcPr>
            <w:tcW w:type="dxa" w:w="231"/>
          </w:tcPr>
          <w:p>
            <w:r>
              <w:rPr/>
              <w:t>2</w:t>
            </w:r>
          </w:p>
        </w:tc>
        <w:tc>
          <w:tcPr>
            <w:tcW w:type="dxa" w:w="385"/>
          </w:tcPr>
          <w:p>
            <w:r>
              <w:rPr/>
              <w:t>△</w:t>
            </w:r>
          </w:p>
        </w:tc>
        <w:tc>
          <w:tcPr>
            <w:tcW w:type="dxa" w:w="1923"/>
          </w:tcPr>
          <w:p>
            <w:r>
              <w:rPr/>
              <w:t>教学专用仪器</w:t>
            </w:r>
          </w:p>
        </w:tc>
        <w:tc>
          <w:tcPr>
            <w:tcW w:type="dxa" w:w="1923"/>
          </w:tcPr>
          <w:p>
            <w:r>
              <w:rPr/>
              <w:t>化学万向通风实验室——学生实验桌</w:t>
            </w:r>
          </w:p>
        </w:tc>
        <w:tc>
          <w:tcPr>
            <w:tcW w:type="dxa" w:w="385"/>
          </w:tcPr>
          <w:p>
            <w:r>
              <w:rPr/>
              <w:t>项</w:t>
            </w:r>
          </w:p>
        </w:tc>
        <w:tc>
          <w:tcPr>
            <w:tcW w:type="dxa" w:w="769"/>
          </w:tcPr>
          <w:p>
            <w:pPr>
              <w:jc w:val="right"/>
            </w:pPr>
            <w:r>
              <w:rPr/>
              <w:t>1.0000</w:t>
            </w:r>
          </w:p>
        </w:tc>
        <w:tc>
          <w:tcPr>
            <w:tcW w:type="dxa" w:w="769"/>
          </w:tcPr>
          <w:p>
            <w:pPr>
              <w:jc w:val="right"/>
            </w:pPr>
            <w:r>
              <w:rPr/>
              <w:t>378,000.00</w:t>
            </w:r>
          </w:p>
        </w:tc>
        <w:tc>
          <w:tcPr>
            <w:tcW w:type="dxa" w:w="769"/>
          </w:tcPr>
          <w:p>
            <w:pPr>
              <w:jc w:val="right"/>
            </w:pPr>
            <w:r>
              <w:rPr/>
              <w:t>378,000.00</w:t>
            </w:r>
          </w:p>
        </w:tc>
        <w:tc>
          <w:tcPr>
            <w:tcW w:type="dxa" w:w="769"/>
          </w:tcPr>
          <w:p>
            <w:r>
              <w:rPr/>
              <w:t>其他未列明行业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中山市华侨中学高中部二期扩建工程项目之工器具采购项目（包一）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化学万向通风实验室——学生实验桌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中山市华侨中学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华侨中学高中部二期扩建工程项目之工器具采购项目（包一）)：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采购包1（中山市华侨中学高中部二期扩建工程项目之工器具采购项目（包一））：</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采购包1（中山市华侨中学高中部二期扩建工程项目之工器具采购项目（包一））：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供应商必须具有良好的商业信誉和健全的财务会计制度（提供2020年度财务状况报告或2021年度财务状况报告或基本开户行出具的资信证明）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落实政府采购政策需满足的资格要求</w:t>
            </w:r>
          </w:p>
        </w:tc>
        <w:tc>
          <w:tcPr>
            <w:tcW w:type="dxa" w:w="4238"/>
          </w:tcPr>
          <w:p>
            <w:r>
              <w:rPr/>
              <w:t>无</w:t>
            </w:r>
          </w:p>
        </w:tc>
      </w:tr>
    </w:tbl>
    <w:p/>
    <w:p>
      <w:pPr>
        <w:ind w:firstLine="480"/>
      </w:pPr>
      <w:r>
        <w:rPr/>
        <w:t>表二符合性审查表：</w:t>
      </w:r>
    </w:p>
    <w:p>
      <w:pPr>
        <w:ind w:firstLine="480"/>
      </w:pPr>
    </w:p>
    <w:p/>
    <w:p>
      <w:r>
        <w:rPr/>
        <w:t>采购包1（中山市华侨中学高中部二期扩建工程项目之工器具采购项目（包一））：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中山市华侨中学高中部二期扩建工程项目之工器具采购项目（包一）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商务部分13.5分</w:t>
            </w:r>
          </w:p>
          <w:p>
            <w:r>
              <w:rPr/>
              <w:t>技术部分56.5分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项目的理解及整体响应方案 (7.5分)</w:t>
            </w:r>
            <w:r>
              <w:rPr/>
              <w:t>，（等次分值选择：</w:t>
            </w:r>
            <w:r>
              <w:rPr/>
              <w:t>0.0;</w:t>
            </w:r>
            <w:r>
              <w:rPr/>
              <w:t>1.0;</w:t>
            </w:r>
            <w:r>
              <w:rPr/>
              <w:t>3.0;</w:t>
            </w:r>
            <w:r>
              <w:rPr/>
              <w:t>7.5;</w:t>
            </w:r>
            <w:r>
              <w:rPr/>
              <w:t>）</w:t>
            </w:r>
          </w:p>
        </w:tc>
        <w:tc>
          <w:tcPr>
            <w:tcW w:type="dxa" w:w="5076"/>
          </w:tcPr>
          <w:p>
            <w:pPr>
              <w:jc w:val="left"/>
            </w:pPr>
            <w:r>
              <w:rPr/>
              <w:t>根据各投标人提供的整体实施方案（包括安装、调试、验收计划、培训、人员配备情况、质量保障措施、维护保养、售后服务响应等）进行综合评审。  1.得7.5分：充分理解用户需求，方案详细具体，具有很强针对性和可行性，具备科学合理性，各阶段服务计划详尽，能贴合项目实际需求；  2.得3分：基本理解用户需求，方案基本完整，有一定的针对性和可行性，有一定的科学合理性，各阶段服务计划基本完整，基本能贴合项目实际需求；  3.得1分：无法理解用户需求，方案及各阶段服务计划缺漏可行性低，不能贴合项目实际需求；  4.得0分：方案不满足要求或未提供相关资料。</w:t>
            </w:r>
          </w:p>
        </w:tc>
      </w:tr>
      <w:tr>
        <w:tc>
          <w:tcPr>
            <w:tcW w:type="dxa" w:w="922"/>
            <w:gridSpan w:val="2"/>
            <w:vMerge/>
          </w:tcPr>
          <w:p/>
        </w:tc>
        <w:tc>
          <w:tcPr>
            <w:tcW w:type="dxa" w:w="2307"/>
          </w:tcPr>
          <w:p>
            <w:pPr>
              <w:jc w:val="left"/>
            </w:pPr>
            <w:r>
              <w:rPr/>
              <w:t>一般参数技术条款响应 (4.0分)</w:t>
            </w:r>
            <w:r>
              <w:rPr/>
              <w:t>，（等次分值选择：</w:t>
            </w:r>
            <w:r>
              <w:rPr/>
              <w:t>0.0;</w:t>
            </w:r>
            <w:r>
              <w:rPr/>
              <w:t>1.0;</w:t>
            </w:r>
            <w:r>
              <w:rPr/>
              <w:t>2.0;</w:t>
            </w:r>
            <w:r>
              <w:rPr/>
              <w:t>4.0;</w:t>
            </w:r>
            <w:r>
              <w:rPr/>
              <w:t>）</w:t>
            </w:r>
          </w:p>
        </w:tc>
        <w:tc>
          <w:tcPr>
            <w:tcW w:type="dxa" w:w="5076"/>
          </w:tcPr>
          <w:p>
            <w:pPr>
              <w:jc w:val="left"/>
            </w:pPr>
            <w:r>
              <w:rPr/>
              <w:t>评标委员会根据投标文件对一般参数的响应情况进行评审：  1.得4分：无负偏离条款； 2.得2分：负偏离条款数量少于10条（含10条）； 3.得1分：负偏离条款数量高于10条且低于20条（含20条）；  4.得0分：负偏离条款数量超过20条（不含20条）。  注：一般参数是指用户需求中第五点“采购包1：中山市华侨中学高中部二期扩建工程项目之工器具采购（包一）建设清单及其技术参数要求”中未标记“▲”和“★”的条款。一般条款无需逐条填入《技术和服务要求响应表》，仅需将“负偏离”的条款按要求填入《技术和服务要求响应表》，其他未填入《技术和服务要求响应表》的一般条款将默认投标人响应（无偏离），投标人中标后应严格按响应条款执行，投标人应谨慎填写。条款（参数）中若有多级目录的以最低级目录的条款视为一条计算。</w:t>
            </w:r>
          </w:p>
        </w:tc>
      </w:tr>
      <w:tr>
        <w:tc>
          <w:tcPr>
            <w:tcW w:type="dxa" w:w="922"/>
            <w:gridSpan w:val="2"/>
            <w:vMerge/>
          </w:tcPr>
          <w:p/>
        </w:tc>
        <w:tc>
          <w:tcPr>
            <w:tcW w:type="dxa" w:w="2307"/>
          </w:tcPr>
          <w:p>
            <w:pPr>
              <w:jc w:val="left"/>
            </w:pPr>
            <w:r>
              <w:rPr/>
              <w:t>“▲”响应情况 (5.0分)</w:t>
            </w:r>
          </w:p>
        </w:tc>
        <w:tc>
          <w:tcPr>
            <w:tcW w:type="dxa" w:w="5076"/>
          </w:tcPr>
          <w:p>
            <w:pPr>
              <w:jc w:val="left"/>
            </w:pPr>
            <w:r>
              <w:rPr/>
              <w:t>全部“▲”参数满足得5分，在5分的基础下每不满足其中一项“▲”设备参数的扣1分，直到扣完为止。 注：（1）投标人对应中山市华侨中学高中部二期扩建工程项目之工器具采购项目的建设清单带“▲”的条款，在投标文件中提供《技术和服务要求响应表》并在表中填写响应情况，不填写不得分。（2）招标文件带“▲”的条款中有需要提供证明材料的，投标文件中须按要求提供证明资料，否则视为不满足。</w:t>
            </w:r>
          </w:p>
        </w:tc>
      </w:tr>
      <w:tr>
        <w:tc>
          <w:tcPr>
            <w:tcW w:type="dxa" w:w="922"/>
            <w:gridSpan w:val="2"/>
            <w:vMerge/>
          </w:tcPr>
          <w:p/>
        </w:tc>
        <w:tc>
          <w:tcPr>
            <w:tcW w:type="dxa" w:w="2307"/>
          </w:tcPr>
          <w:p>
            <w:pPr>
              <w:jc w:val="left"/>
            </w:pPr>
            <w:r>
              <w:rPr/>
              <w:t>主要产品检验报告 (5.0分)</w:t>
            </w:r>
          </w:p>
        </w:tc>
        <w:tc>
          <w:tcPr>
            <w:tcW w:type="dxa" w:w="5076"/>
          </w:tcPr>
          <w:p>
            <w:pPr>
              <w:jc w:val="left"/>
            </w:pPr>
            <w:r>
              <w:rPr/>
              <w:t>评标委员会根据投标人所投实验室设备制造商或生产厂家2019年1月1日以来（以检验报告的发出日为准）获得由国家认可的检验检测机构出具的检验合格的检验报告进行评审（检验类别须为抽样检验或委托抽样检验）： 学生实验桌（≥1200mm（L）×600mm（W）×780mm（H））、吊装主体、数据分析模块、吊装通风模块、吊装电源模块、照明模块、笔式酸度计、水浴锅、学生用移液器、教师用移液器、移液器架、多功能生态养殖箱、学生端数码显微镜、拉坯机、仪器柜（化学生物仪器室的ABS材质仪器柜）、万向吸风罩、学生水槽（独立水槽台）、多功能平台架（学生水槽上）、功能柱（化学万向通风实验室）、功能柱（物理综合实验室）、多功能数字化实验支架、静电计、电磁定位板、焦耳定律实验器、无线向心力实验器B、安培力实验器V2.0、分体式位移传感器、一体式位移传感器、光电门传感器、压强传感器，具有全上述30种检验报告的得5分，每少一项扣0.5分，扣完为止；本项目满分为5分。注：（1）检验报告封面需有CMA、CNAS、CAL、ilac-MRA认证标志的其中一个或以上，被检方须为投标人或所投货物的制造商或生产厂家，否则对应项不得分；（2）投标文件中提供加盖投标人印章及制造商（生产厂家）印章的上述检验报告复印件并在检验报告复印件后面附上对应产品照片，若检验报告上的产品名称与上述名称不完全一致，评标委员会需判断是否为同一产品货物，若是则予以计分，若不是则不予计分。（3）未按要求提供不得分</w:t>
            </w:r>
          </w:p>
        </w:tc>
      </w:tr>
      <w:tr>
        <w:tc>
          <w:tcPr>
            <w:tcW w:type="dxa" w:w="922"/>
            <w:gridSpan w:val="2"/>
            <w:vMerge/>
          </w:tcPr>
          <w:p/>
        </w:tc>
        <w:tc>
          <w:tcPr>
            <w:tcW w:type="dxa" w:w="2307"/>
          </w:tcPr>
          <w:p>
            <w:pPr>
              <w:jc w:val="left"/>
            </w:pPr>
            <w:r>
              <w:rPr/>
              <w:t>吊装实验室系统演示 (4.0分)</w:t>
            </w:r>
            <w:r>
              <w:rPr/>
              <w:t>，（等次分值选择：</w:t>
            </w:r>
            <w:r>
              <w:rPr/>
              <w:t>0.0;</w:t>
            </w:r>
            <w:r>
              <w:rPr/>
              <w:t>1.0;</w:t>
            </w:r>
            <w:r>
              <w:rPr/>
              <w:t>2.0;</w:t>
            </w:r>
            <w:r>
              <w:rPr/>
              <w:t>4.0;</w:t>
            </w:r>
            <w:r>
              <w:rPr/>
              <w:t>）</w:t>
            </w:r>
          </w:p>
        </w:tc>
        <w:tc>
          <w:tcPr>
            <w:tcW w:type="dxa" w:w="5076"/>
          </w:tcPr>
          <w:p>
            <w:pPr>
              <w:jc w:val="left"/>
            </w:pPr>
            <w:r>
              <w:rPr/>
              <w:t>评标委员会根据投标人对化学吊装实验室系统演示（演示时长不超过6分钟）进行评分，演示以下功能： （1）吊装实验室系统电源模块、通风模块和给排水模块收起状态下，吊装主体四周和底部整体简洁整齐，完全不遮挡学生上课视线的。 （2）照明模块、电源模块、通风模块、给排水模块和数据分析模块5种全部一体化集成在吊装主体上，方便学生老师实时了解设备的工作状态的。 （3）数据分析模块演示以下4种功能：通风系统的工作状态和排风量比例的显示；供水系统的运行状态（供水系统停止工作，排水系统立即开始工作，实现无缝对接状态）；排水系统的运行状态；照明系统的运行工作状态。 （4）照明模块：照明系统采用整体环形灯排列，360度照明无死角。 1.得4分：投标人的演示资料准备充分，功能展示清晰，各功能模块操作科学便捷，界面美工符合青少年学生健康审美，涵盖所有要求的功能；   2.得2分：投标人的演示资料准备一般，实现大部分要求的功能；  3.得1分：投标人的演示资料准备不充分，实现少部分要求的功能；  4.得0分：演示内容不符合要求或无演示。</w:t>
            </w:r>
          </w:p>
        </w:tc>
      </w:tr>
      <w:tr>
        <w:tc>
          <w:tcPr>
            <w:tcW w:type="dxa" w:w="922"/>
            <w:gridSpan w:val="2"/>
            <w:vMerge/>
          </w:tcPr>
          <w:p/>
        </w:tc>
        <w:tc>
          <w:tcPr>
            <w:tcW w:type="dxa" w:w="2307"/>
          </w:tcPr>
          <w:p>
            <w:pPr>
              <w:jc w:val="left"/>
            </w:pPr>
            <w:r>
              <w:rPr/>
              <w:t>学生实验桌、拉坯机演示 (2.0分)</w:t>
            </w:r>
            <w:r>
              <w:rPr/>
              <w:t>，（等次分值选择：</w:t>
            </w:r>
            <w:r>
              <w:rPr/>
              <w:t>0.0;</w:t>
            </w:r>
            <w:r>
              <w:rPr/>
              <w:t>1.0;</w:t>
            </w:r>
            <w:r>
              <w:rPr/>
              <w:t>2.0;</w:t>
            </w:r>
            <w:r>
              <w:rPr/>
              <w:t>）</w:t>
            </w:r>
          </w:p>
        </w:tc>
        <w:tc>
          <w:tcPr>
            <w:tcW w:type="dxa" w:w="5076"/>
          </w:tcPr>
          <w:p>
            <w:pPr>
              <w:jc w:val="left"/>
            </w:pPr>
            <w:r>
              <w:rPr/>
              <w:t>评标委员会根据投标人对理化生工字型学生实验桌和拉坯机演示（演示时长不超过3分钟）进行评分，演示以下功能： （1）理化生工字桌学生实验桌“工字腿”ABS塑包铝截面和ABS塑包铝结构分解演示； （2）拉坯机电子脚踏板控制器浸泡在水里时，依然具有控制速度精确稳定，防水 防潮 防漏电的功能演示。 1.得2分：投标人的演示资料准备充分，功能展示清晰，各功能模块操作科学便捷，界面美工符合青少年学生健康审美，涵盖所有要求的功能；   2.得1分：投标人的演示资料准备一般，实现大部分要求的功能；  3.得0分：演示内容不符合招标文件规定或无演示。</w:t>
            </w:r>
          </w:p>
        </w:tc>
      </w:tr>
      <w:tr>
        <w:tc>
          <w:tcPr>
            <w:tcW w:type="dxa" w:w="922"/>
            <w:gridSpan w:val="2"/>
            <w:vMerge/>
          </w:tcPr>
          <w:p/>
        </w:tc>
        <w:tc>
          <w:tcPr>
            <w:tcW w:type="dxa" w:w="2307"/>
          </w:tcPr>
          <w:p>
            <w:pPr>
              <w:jc w:val="left"/>
            </w:pPr>
            <w:r>
              <w:rPr/>
              <w:t>三维数字地球教学软件演示 (2.0分)</w:t>
            </w:r>
            <w:r>
              <w:rPr/>
              <w:t>，（等次分值选择：</w:t>
            </w:r>
            <w:r>
              <w:rPr/>
              <w:t>0.0;</w:t>
            </w:r>
            <w:r>
              <w:rPr/>
              <w:t>1.0;</w:t>
            </w:r>
            <w:r>
              <w:rPr/>
              <w:t>2.0;</w:t>
            </w:r>
            <w:r>
              <w:rPr/>
              <w:t>）</w:t>
            </w:r>
          </w:p>
        </w:tc>
        <w:tc>
          <w:tcPr>
            <w:tcW w:type="dxa" w:w="5076"/>
          </w:tcPr>
          <w:p>
            <w:pPr>
              <w:jc w:val="left"/>
            </w:pPr>
            <w:r>
              <w:rPr/>
              <w:t>评标委员会根据投标人对三维数字地球教学软件教学演示（演示时长不超过2分钟）进行评分，演示以下功能： 1、点击月份或日期可以选择月份日期切换，可以引起晨昏线角度的变化，软件界面的时间显示，随着地球的转动而变化 2、可以放大缩小地球的显示画面，同时可以拉近、拉远地球的观看距离 3、具备地形调节功能，可以调节陆地地形的高度及海平面高度 4、生成航线：点击一个起飞城市，再点击一个目标城市，点击飞行，可以生成飞机的航线。 1.得2分：投标人的演示资料准备充分，功能展示清晰，各功能模块操作科学便捷，界面美工符合青少年学生健康审美，涵盖所有要求的功能；  2.得1分：投标人的演示资料准备一般，实现大部分要求的功能； 3.得0分：演示内容不符合招标文件规定或无演示。</w:t>
            </w:r>
          </w:p>
        </w:tc>
      </w:tr>
      <w:tr>
        <w:tc>
          <w:tcPr>
            <w:tcW w:type="dxa" w:w="922"/>
            <w:gridSpan w:val="2"/>
            <w:vMerge/>
          </w:tcPr>
          <w:p/>
        </w:tc>
        <w:tc>
          <w:tcPr>
            <w:tcW w:type="dxa" w:w="2307"/>
          </w:tcPr>
          <w:p>
            <w:pPr>
              <w:jc w:val="left"/>
            </w:pPr>
            <w:r>
              <w:rPr/>
              <w:t>物理探究仪器演示 (8.0分)</w:t>
            </w:r>
            <w:r>
              <w:rPr/>
              <w:t>，（等次分值选择：</w:t>
            </w:r>
            <w:r>
              <w:rPr/>
              <w:t>0.0;</w:t>
            </w:r>
            <w:r>
              <w:rPr/>
              <w:t>1.0;</w:t>
            </w:r>
            <w:r>
              <w:rPr/>
              <w:t>3.0;</w:t>
            </w:r>
            <w:r>
              <w:rPr/>
              <w:t>8.0;</w:t>
            </w:r>
            <w:r>
              <w:rPr/>
              <w:t>）</w:t>
            </w:r>
          </w:p>
        </w:tc>
        <w:tc>
          <w:tcPr>
            <w:tcW w:type="dxa" w:w="5076"/>
          </w:tcPr>
          <w:p>
            <w:pPr>
              <w:jc w:val="left"/>
            </w:pPr>
            <w:r>
              <w:rPr/>
              <w:t>评标委员会根据投标人对“物理探究仪器”演示（演示时长不超过10分钟）进行评审，演示以下功能： （一）电磁定位板：提供实验过程图及效果图、实验演示； （二）静电计：提供实验过程图及效果图、实验演示； （三）软件包： （1）一“件”全能——通用软件支持所有同系列传感器进行数据采集。 （2）即插即用——接入一个传感器，软件即显示出该传感器对应的数据窗口；拔下该传感器，数据窗口自动关闭；软件支持传感器的热插拔。 （3）自动识别传感器的类型、量程与接入的通道序号； （4） 多模显示——除个别传感器之外，绝大部分传感器数据窗口均支持“数字”、“仪表”和“示波”三种显示方式，用户可根据教学需要随意切换。 （5）并行采集——支持1~4路传感器并行采集、记录实验数据，同时可测量四种相同或不同的物理量，特别是能够支持声波传感器四路并行采集，凸显了朗威感器软硬件系统强大的功能。 （6）组合显示——专门设有组合显示窗口，可将有逻辑关联的多条数据图线按照同一时间坐标显示在一个窗口内。 （7）自由坐标——在组合显示窗口内可自由定义坐标轴，并可自由缩放坐标轴。 （8）图线分析——在组合显示窗口内，可基于实验图线直接进行拟合、求导、积分等高等数学分析，进一步揭示无论物理规律。 （9）数据计算——可将实验数据记录在“计算表格”内，并通过软件内嵌的编译器带入公式计算实验结果。支持加、减、乘、除、多次方、三角函数、对数、多重括号等计算； （10）传感回控——支持将传感器作为信号源构建自动控制系统，可基于传感器数据设置控制阈值，并可将指令信号下达给相应的执行装置。 （11）支持四通道手动和自动采集、记录两种模式，可人工设置变量并输入公式，亦可调用表格公式库中的现有公式。支持基于数据的绘图功能。 （12）所有数据均可保存并打开使用，另可导入EXCEL，表格内支持针对数据的复制、剪切和粘贴，具备放大、缩小显示的功能，支持表格打印，另将某些实验的设置保存成为模板，为方便重新开始此类实验。并具有软件调零功能；计算结果保留小数点位数可调，数据表格导入Excel进行数据处理。 （四）传感器数据显示模块： （1）与各种传感器组合，使之具备独立数据显示功能； （2）1.77吋彩屏； （3）刷新频率35HZ，连接插口具有方向性和自锁功能，可以防止传感器脱落保证数据传输稳定； （4）支持热插拔连接，接入后自动识别传感器； （5）该模块自带8M内存，可自动保存实验数据，并且可与计算机直接通讯（兼充电），导出实验数据的功能； （6）可充电锂电池供电。 1.得8分：投标人的演示资料准备充分，功能展示清晰，各功能模块操作科学便捷，界面美工符合青少年学生健康审美，涵盖所有要求的功能；  2.得3分：投标人的演示资料准备一般，实现大部分要求的功能；  3.得1分：投标人的演示资料准备不充分，实现少部分要求的功能；  4.得0分：演示内容不符合要求或无演示。</w:t>
            </w:r>
          </w:p>
        </w:tc>
      </w:tr>
      <w:tr>
        <w:tc>
          <w:tcPr>
            <w:tcW w:type="dxa" w:w="922"/>
            <w:gridSpan w:val="2"/>
            <w:vMerge/>
          </w:tcPr>
          <w:p/>
        </w:tc>
        <w:tc>
          <w:tcPr>
            <w:tcW w:type="dxa" w:w="2307"/>
          </w:tcPr>
          <w:p>
            <w:pPr>
              <w:jc w:val="left"/>
            </w:pPr>
            <w:r>
              <w:rPr/>
              <w:t>图形计算器演示 (3.0分)</w:t>
            </w:r>
            <w:r>
              <w:rPr/>
              <w:t>，（等次分值选择：</w:t>
            </w:r>
            <w:r>
              <w:rPr/>
              <w:t>0.0;</w:t>
            </w:r>
            <w:r>
              <w:rPr/>
              <w:t>1.0;</w:t>
            </w:r>
            <w:r>
              <w:rPr/>
              <w:t>3.0;</w:t>
            </w:r>
            <w:r>
              <w:rPr/>
              <w:t>）</w:t>
            </w:r>
          </w:p>
        </w:tc>
        <w:tc>
          <w:tcPr>
            <w:tcW w:type="dxa" w:w="5076"/>
          </w:tcPr>
          <w:p>
            <w:pPr>
              <w:jc w:val="left"/>
            </w:pPr>
            <w:r>
              <w:rPr/>
              <w:t>评标委员会根据投标人对图形计算器的关键功能演示（演示时长不超过6分钟）进行评分，演示以下功能： （1）用图形计算器当场输入函数y1=x的1/3次方,显示结果为奇函数，关于原点对称；用图形计算器当场输入y2=x的2/3次方，显示结果为偶函数，关于y轴对称。 （2） 展示三维坐标系，在坐标系中输入Z（x,y）=X2-y,绘制立体图形。 （3）将屏幕分四屏，分别显示几何、函数图像、电子表格、数据散点图。 1.得3分：投标人的演示资料准备充分，功能展示清晰，各功能模块操作科学便捷，界面美工符合青少年学生健康审美，涵盖所有要求的功能；  2.得1分：投标人的演示资料准备一般，实现大部分要求的功能；  3.得0分：无演示。</w:t>
            </w:r>
          </w:p>
        </w:tc>
      </w:tr>
      <w:tr>
        <w:tc>
          <w:tcPr>
            <w:tcW w:type="dxa" w:w="922"/>
            <w:gridSpan w:val="2"/>
            <w:vMerge/>
          </w:tcPr>
          <w:p/>
        </w:tc>
        <w:tc>
          <w:tcPr>
            <w:tcW w:type="dxa" w:w="2307"/>
          </w:tcPr>
          <w:p>
            <w:pPr>
              <w:jc w:val="left"/>
            </w:pPr>
            <w:r>
              <w:rPr/>
              <w:t>智慧黑板演示 (5.0分)</w:t>
            </w:r>
            <w:r>
              <w:rPr/>
              <w:t>，（等次分值选择：</w:t>
            </w:r>
            <w:r>
              <w:rPr/>
              <w:t>0.0;</w:t>
            </w:r>
            <w:r>
              <w:rPr/>
              <w:t>1.0;</w:t>
            </w:r>
            <w:r>
              <w:rPr/>
              <w:t>3.0;</w:t>
            </w:r>
            <w:r>
              <w:rPr/>
              <w:t>5.0;</w:t>
            </w:r>
            <w:r>
              <w:rPr/>
              <w:t>）</w:t>
            </w:r>
          </w:p>
        </w:tc>
        <w:tc>
          <w:tcPr>
            <w:tcW w:type="dxa" w:w="5076"/>
          </w:tcPr>
          <w:p>
            <w:pPr>
              <w:jc w:val="left"/>
            </w:pPr>
            <w:r>
              <w:rPr/>
              <w:t>评标委员会根据投标人对智慧黑板产品关键功能演示（演示时长不超过6分钟）进行评分，演示以下功能： 1）整机支持纸质护眼模式，可以在任意通道任意画面任意软件所有显示内容下实现画面纹理的实时调整；支持纸质纹理：牛皮纸、素描纸、宣纸、水彩纸、水纹纸；支持透明度调节；支持色温调节；纸质护眼模式下，显示画面各像素点灰度不规则，减少背景干扰。 2）整机内置非独立摄像头，拍摄照片像素数≥1300万；摄像头视场角≥135度。整机内置非独立的高清摄像头，可用于远程巡课，支持人脸识别、快速点人数、随机抽人；识别所有学生，显示标记，然后随机抽选，同时显示标记不少于60人。 3）采用按压式卡扣，确保PC模块安装固定到位，同时无需工具就可快速拆卸电脑模块。电脑接口高度集成，降低接口损坏率，采用小于等于40pin接口。 4）整机配套教学白板软件具有配套移动端APP，无需连接WIFI网络，在移动网络下即可支持移动端进行课件预览，保留课件对象拖拽移动、克隆复制等互动功能， 并可通过移动端进行思维导图、课堂互动游戏的触控交互操作。教师可在移动平台接收课件储并存至个人云空间，可在移动平台的互动课件列表预览。 5）整机配套数据分析管理平台学校管理者登录后即可在平台首页查看校园评课数据、学生点评数据、校本课件数量等统计数据，以及可以看到这些数据与全省均值的对比情况，方便管理者快速了解教师工作情况及校园整体信息化情况。 6）微课按照课件页面重录功能。支持按照课件页面片段剪辑和重录微课，支持一键上传至云端保存。  1.得5分：投标人的演示资料准备充分，功能展示清晰，各功能模块操作科学便捷，界面美工符合青少年学生健康审美，涵盖所有要求的功能；   2.得3分：投标人的演示资料准备一般，实现大部分功能； 3.得1分：投标人的演示资料准备不充分，实现少部分要求的功能；   4.得0分：无演示或不能实现要求功能。 注：以上演示内容，必须注明所投品牌和型号，和投标文件一致。中标后将做为重要供货依据证明。</w:t>
            </w:r>
          </w:p>
        </w:tc>
      </w:tr>
      <w:tr>
        <w:tc>
          <w:tcPr>
            <w:tcW w:type="dxa" w:w="922"/>
            <w:gridSpan w:val="2"/>
            <w:vMerge/>
          </w:tcPr>
          <w:p/>
        </w:tc>
        <w:tc>
          <w:tcPr>
            <w:tcW w:type="dxa" w:w="2307"/>
          </w:tcPr>
          <w:p>
            <w:pPr>
              <w:jc w:val="left"/>
            </w:pPr>
            <w:r>
              <w:rPr/>
              <w:t>深化施工方案设计 (8.0分)</w:t>
            </w:r>
            <w:r>
              <w:rPr/>
              <w:t>，（等次分值选择：</w:t>
            </w:r>
            <w:r>
              <w:rPr/>
              <w:t>0.0;</w:t>
            </w:r>
            <w:r>
              <w:rPr/>
              <w:t>1.0;</w:t>
            </w:r>
            <w:r>
              <w:rPr/>
              <w:t>3.0;</w:t>
            </w:r>
            <w:r>
              <w:rPr/>
              <w:t>8.0;</w:t>
            </w:r>
            <w:r>
              <w:rPr/>
              <w:t>）</w:t>
            </w:r>
          </w:p>
        </w:tc>
        <w:tc>
          <w:tcPr>
            <w:tcW w:type="dxa" w:w="5076"/>
          </w:tcPr>
          <w:p>
            <w:pPr>
              <w:jc w:val="left"/>
            </w:pPr>
            <w:r>
              <w:rPr/>
              <w:t>评标委员会对投标人根据用户需求提供深化设计图纸和效果图、供货方案、进度计划，对合理准确性、完善度、和可操作性进行评审。 1.得8分：深化设计图纸和效果图合理准确性高、供货方案完善度高、进度计划可操作性强； 2.得3分：深化设计图纸和效果图合理准确性一般、供货方案完善度一般、进度计划可操作性一般； 3.得1分：深化设计图纸和效果图合理准确性差、供货方案完善度差、进度计划可操作性差； 4.得0分：方案不满足要求或无提供方案。</w:t>
            </w:r>
          </w:p>
        </w:tc>
      </w:tr>
      <w:tr>
        <w:tc>
          <w:tcPr>
            <w:tcW w:type="dxa" w:w="922"/>
            <w:gridSpan w:val="2"/>
            <w:vMerge/>
          </w:tcPr>
          <w:p/>
        </w:tc>
        <w:tc>
          <w:tcPr>
            <w:tcW w:type="dxa" w:w="2307"/>
          </w:tcPr>
          <w:p>
            <w:pPr>
              <w:jc w:val="left"/>
            </w:pPr>
            <w:r>
              <w:rPr/>
              <w:t>售后服务方案 (3.0分)</w:t>
            </w:r>
            <w:r>
              <w:rPr/>
              <w:t>，（等次分值选择：</w:t>
            </w:r>
            <w:r>
              <w:rPr/>
              <w:t>0.0;</w:t>
            </w:r>
            <w:r>
              <w:rPr/>
              <w:t>1.0;</w:t>
            </w:r>
            <w:r>
              <w:rPr/>
              <w:t>3.0;</w:t>
            </w:r>
            <w:r>
              <w:rPr/>
              <w:t>）</w:t>
            </w:r>
          </w:p>
        </w:tc>
        <w:tc>
          <w:tcPr>
            <w:tcW w:type="dxa" w:w="5076"/>
          </w:tcPr>
          <w:p>
            <w:pPr>
              <w:jc w:val="left"/>
            </w:pPr>
            <w:r>
              <w:rPr/>
              <w:t>评委对各投标人提供的售后服务方案进行评审。 1.得3分：服务响应方案优于采购需求； 2.得1分：服务响应方案完全满足采购需求；  3.得0分：服务响应方案不满足要求或未提供服务方案。</w:t>
            </w:r>
          </w:p>
        </w:tc>
      </w:tr>
      <w:tr>
        <w:tc>
          <w:tcPr>
            <w:tcW w:type="dxa" w:w="922"/>
            <w:gridSpan w:val="2"/>
            <w:vMerge w:val="restart"/>
          </w:tcPr>
          <w:p>
            <w:pPr>
              <w:jc w:val="center"/>
            </w:pPr>
            <w:r>
              <w:rPr/>
              <w:t>商务部分</w:t>
            </w:r>
          </w:p>
        </w:tc>
        <w:tc>
          <w:tcPr>
            <w:tcW w:type="dxa" w:w="2307"/>
          </w:tcPr>
          <w:p>
            <w:pPr>
              <w:jc w:val="left"/>
            </w:pPr>
            <w:r>
              <w:rPr/>
              <w:t>体系认证 (1.5分)</w:t>
            </w:r>
          </w:p>
        </w:tc>
        <w:tc>
          <w:tcPr>
            <w:tcW w:type="dxa" w:w="5076"/>
          </w:tcPr>
          <w:p>
            <w:pPr>
              <w:jc w:val="left"/>
            </w:pPr>
            <w:r>
              <w:rPr/>
              <w:t>评标委员会对投标人体系认证进行评审： 投标人具有有效的质量管理体系认证证书、环境管理体系认证证书、职业健康安全管理体系认证证书，每个得0.5分，满分得1.5分。 注：投标文件中提供认证证书复印件，未按要求提供的不得分。</w:t>
            </w:r>
          </w:p>
        </w:tc>
      </w:tr>
      <w:tr>
        <w:tc>
          <w:tcPr>
            <w:tcW w:type="dxa" w:w="922"/>
            <w:gridSpan w:val="2"/>
            <w:vMerge/>
          </w:tcPr>
          <w:p/>
        </w:tc>
        <w:tc>
          <w:tcPr>
            <w:tcW w:type="dxa" w:w="2307"/>
          </w:tcPr>
          <w:p>
            <w:pPr>
              <w:jc w:val="left"/>
            </w:pPr>
            <w:r>
              <w:rPr/>
              <w:t>响应服务速度 (2.0分)</w:t>
            </w:r>
          </w:p>
        </w:tc>
        <w:tc>
          <w:tcPr>
            <w:tcW w:type="dxa" w:w="5076"/>
          </w:tcPr>
          <w:p>
            <w:pPr>
              <w:jc w:val="left"/>
            </w:pPr>
            <w:r>
              <w:rPr/>
              <w:t>评标委员会根据供应商提供的售后服务技术人员到达现场时间书面承诺进行评审： 1.得2分：供应商确保在收到采购人通知后，委派合格的专业技术人员1小时内（含1小时）赶至现场提供免费服务；  2.得1分：供应商确保在收到采购人通知后，委派合格的专业技术人员1小时至2小时内（含2小时）赶至现场提供免费服务；  3.得0.5分：供应商确保在收到采购人通知后，委派合格的专业技术人员2小时至4小时内（含4小时）赶至现场提供免费服务；  4.得0分：其他情况或未按要求提供书面承诺的不得分。</w:t>
            </w:r>
          </w:p>
        </w:tc>
      </w:tr>
      <w:tr>
        <w:tc>
          <w:tcPr>
            <w:tcW w:type="dxa" w:w="922"/>
            <w:gridSpan w:val="2"/>
            <w:vMerge/>
          </w:tcPr>
          <w:p/>
        </w:tc>
        <w:tc>
          <w:tcPr>
            <w:tcW w:type="dxa" w:w="2307"/>
          </w:tcPr>
          <w:p>
            <w:pPr>
              <w:jc w:val="left"/>
            </w:pPr>
            <w:r>
              <w:rPr/>
              <w:t>业绩 (10.0分)</w:t>
            </w:r>
          </w:p>
        </w:tc>
        <w:tc>
          <w:tcPr>
            <w:tcW w:type="dxa" w:w="5076"/>
          </w:tcPr>
          <w:p>
            <w:pPr>
              <w:jc w:val="left"/>
            </w:pPr>
            <w:r>
              <w:rPr/>
              <w:t>评标委员会对投标文件的业绩进行评审（本项最多计算10份业绩）： 投标人2019年以来开展同类项目，每一份得1分。 注： （1）投标文件中提供合同复印件，未按要求提供的不得分。（2）合同签定在2019年1月1日（含1月1日）之后的，视为符合“2019年以来”的要求。</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442000-2022-04895</w:t>
      </w:r>
    </w:p>
    <w:p>
      <w:pPr>
        <w:jc w:val="center"/>
      </w:pPr>
      <w:r>
        <w:rPr>
          <w:b/>
          <w:sz w:val="24"/>
        </w:rPr>
        <w:t>采购项目编号：</w:t>
      </w:r>
      <w:r>
        <w:rPr>
          <w:b/>
          <w:sz w:val="24"/>
        </w:rPr>
        <w:t>ZSJD22ZC0096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中山市华侨中学高中部二期扩建工程项目之工器具采购项目（包一）</w:t>
      </w:r>
      <w:r>
        <w:rPr/>
        <w:t>项目的招标[采购项目编号为：</w:t>
      </w:r>
      <w:r>
        <w:rPr>
          <w:u w:val="single"/>
        </w:rPr>
        <w:t>ZSJD22ZC0096</w:t>
      </w:r>
      <w:r>
        <w:rPr/>
        <w:t>]，我方愿参与投标。</w:t>
      </w:r>
    </w:p>
    <w:p>
      <w:pPr>
        <w:ind w:firstLine="480"/>
      </w:pPr>
      <w:r>
        <w:rPr/>
        <w:t>我方确认收到贵方提供的</w:t>
      </w:r>
      <w:r>
        <w:rPr>
          <w:u w:val="single"/>
        </w:rPr>
        <w:t>中山市华侨中学高中部二期扩建工程项目之工器具采购项目（包一）</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中山市华侨中学高中部二期扩建工程项目之工器具采购项目（包一）</w:t>
      </w:r>
      <w:r>
        <w:rPr/>
        <w:t>项目采购[采购项目编号为</w:t>
      </w:r>
      <w:r>
        <w:rPr/>
        <w:t>ZSJD22ZC0096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中山市华侨中学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中山市华侨中学高中部二期扩建工程项目之工器具采购项目（包一）</w:t>
      </w:r>
      <w:r>
        <w:rPr/>
        <w:t>招标中获中标（采购项目编号：</w:t>
      </w:r>
      <w:r>
        <w:rPr/>
        <w:t>ZSJD22ZC0096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中山市华侨中学高中部二期扩建工程项目之工器具采购项目（包一）</w:t>
      </w:r>
      <w:r>
        <w:rPr/>
        <w:t>项目（采购项目编号：</w:t>
      </w:r>
      <w:r>
        <w:rPr/>
        <w:t>ZSJD22ZC0096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