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sz w:val="36"/>
          <w:szCs w:val="36"/>
        </w:rPr>
      </w:pPr>
    </w:p>
    <w:p>
      <w:pPr>
        <w:jc w:val="center"/>
        <w:rPr>
          <w:rFonts w:asciiTheme="minorEastAsia" w:hAnsiTheme="minorEastAsia"/>
          <w:sz w:val="36"/>
          <w:szCs w:val="36"/>
        </w:rPr>
      </w:pPr>
    </w:p>
    <w:p>
      <w:pPr>
        <w:jc w:val="center"/>
        <w:rPr>
          <w:rFonts w:asciiTheme="minorEastAsia" w:hAnsiTheme="minorEastAsia"/>
          <w:sz w:val="36"/>
          <w:szCs w:val="36"/>
        </w:rPr>
      </w:pPr>
      <w:r>
        <w:rPr>
          <w:rFonts w:hint="eastAsia" w:asciiTheme="minorEastAsia" w:hAnsiTheme="minorEastAsia"/>
          <w:sz w:val="36"/>
          <w:szCs w:val="36"/>
        </w:rPr>
        <w:t>东区24米以下道路路面提升改造“白改黑”工程</w:t>
      </w:r>
    </w:p>
    <w:p>
      <w:pPr>
        <w:jc w:val="center"/>
        <w:rPr>
          <w:rFonts w:asciiTheme="minorEastAsia" w:hAnsiTheme="minorEastAsia"/>
          <w:sz w:val="36"/>
          <w:szCs w:val="36"/>
        </w:rPr>
      </w:pPr>
      <w:r>
        <w:rPr>
          <w:rFonts w:hint="eastAsia" w:asciiTheme="minorEastAsia" w:hAnsiTheme="minorEastAsia"/>
          <w:b/>
          <w:bCs/>
          <w:sz w:val="36"/>
          <w:szCs w:val="36"/>
        </w:rPr>
        <w:t>（龙井街、彩虹街）</w:t>
      </w:r>
    </w:p>
    <w:p>
      <w:pPr>
        <w:jc w:val="center"/>
        <w:rPr>
          <w:rFonts w:asciiTheme="minorEastAsia" w:hAnsiTheme="minorEastAsia"/>
        </w:rPr>
      </w:pPr>
    </w:p>
    <w:p>
      <w:pPr>
        <w:jc w:val="center"/>
        <w:rPr>
          <w:rFonts w:asciiTheme="minorEastAsia" w:hAnsiTheme="minorEastAsia"/>
        </w:rPr>
      </w:pPr>
    </w:p>
    <w:p>
      <w:pPr>
        <w:jc w:val="center"/>
        <w:rPr>
          <w:rFonts w:asciiTheme="minorEastAsia" w:hAnsiTheme="minorEastAsia"/>
          <w:b/>
          <w:sz w:val="84"/>
          <w:szCs w:val="84"/>
        </w:rPr>
      </w:pPr>
    </w:p>
    <w:p>
      <w:pPr>
        <w:jc w:val="center"/>
        <w:rPr>
          <w:rFonts w:asciiTheme="minorEastAsia" w:hAnsiTheme="minorEastAsia"/>
          <w:b/>
          <w:sz w:val="84"/>
          <w:szCs w:val="84"/>
        </w:rPr>
      </w:pPr>
    </w:p>
    <w:p>
      <w:pPr>
        <w:jc w:val="center"/>
        <w:rPr>
          <w:rFonts w:asciiTheme="minorEastAsia" w:hAnsiTheme="minorEastAsia"/>
          <w:b/>
          <w:sz w:val="84"/>
          <w:szCs w:val="84"/>
        </w:rPr>
      </w:pPr>
      <w:r>
        <w:rPr>
          <w:rFonts w:hint="eastAsia" w:asciiTheme="minorEastAsia" w:hAnsiTheme="minorEastAsia"/>
          <w:b/>
          <w:sz w:val="84"/>
          <w:szCs w:val="84"/>
        </w:rPr>
        <w:t>中 介 预 算</w:t>
      </w:r>
    </w:p>
    <w:p>
      <w:pPr>
        <w:jc w:val="center"/>
        <w:rPr>
          <w:rFonts w:asciiTheme="minorEastAsia" w:hAnsiTheme="minorEastAsia"/>
          <w:sz w:val="28"/>
          <w:szCs w:val="28"/>
        </w:rPr>
      </w:pPr>
      <w:r>
        <w:rPr>
          <w:rFonts w:hint="eastAsia" w:asciiTheme="minorEastAsia" w:hAnsiTheme="minorEastAsia"/>
          <w:sz w:val="28"/>
          <w:szCs w:val="28"/>
        </w:rPr>
        <w:t>（201</w:t>
      </w:r>
      <w:r>
        <w:rPr>
          <w:rFonts w:hint="eastAsia" w:asciiTheme="minorEastAsia" w:hAnsiTheme="minorEastAsia"/>
          <w:sz w:val="28"/>
          <w:szCs w:val="28"/>
          <w:lang w:val="en-US" w:eastAsia="zh-CN"/>
        </w:rPr>
        <w:t>9</w:t>
      </w:r>
      <w:r>
        <w:rPr>
          <w:rFonts w:hint="eastAsia" w:asciiTheme="minorEastAsia" w:hAnsiTheme="minorEastAsia"/>
          <w:sz w:val="28"/>
          <w:szCs w:val="28"/>
        </w:rPr>
        <w:t>年0</w:t>
      </w:r>
      <w:r>
        <w:rPr>
          <w:rFonts w:hint="eastAsia" w:asciiTheme="minorEastAsia" w:hAnsiTheme="minorEastAsia"/>
          <w:sz w:val="28"/>
          <w:szCs w:val="28"/>
          <w:lang w:val="en-US" w:eastAsia="zh-CN"/>
        </w:rPr>
        <w:t>5</w:t>
      </w:r>
      <w:r>
        <w:rPr>
          <w:rFonts w:hint="eastAsia" w:asciiTheme="minorEastAsia" w:hAnsiTheme="minorEastAsia"/>
          <w:sz w:val="28"/>
          <w:szCs w:val="28"/>
        </w:rPr>
        <w:t>月2</w:t>
      </w:r>
      <w:r>
        <w:rPr>
          <w:rFonts w:hint="eastAsia" w:asciiTheme="minorEastAsia" w:hAnsiTheme="minorEastAsia"/>
          <w:sz w:val="28"/>
          <w:szCs w:val="28"/>
          <w:lang w:val="en-US" w:eastAsia="zh-CN"/>
        </w:rPr>
        <w:t>2</w:t>
      </w:r>
      <w:r>
        <w:rPr>
          <w:rFonts w:hint="eastAsia" w:asciiTheme="minorEastAsia" w:hAnsiTheme="minorEastAsia"/>
          <w:sz w:val="28"/>
          <w:szCs w:val="28"/>
        </w:rPr>
        <w:t>日）</w:t>
      </w:r>
    </w:p>
    <w:p>
      <w:pPr>
        <w:jc w:val="center"/>
        <w:rPr>
          <w:rFonts w:asciiTheme="minorEastAsia" w:hAnsiTheme="minorEastAsia"/>
        </w:rPr>
      </w:pPr>
    </w:p>
    <w:p>
      <w:pPr>
        <w:jc w:val="center"/>
        <w:rPr>
          <w:rFonts w:asciiTheme="minorEastAsia" w:hAnsiTheme="minorEastAsia"/>
        </w:rPr>
      </w:pPr>
    </w:p>
    <w:p>
      <w:pPr>
        <w:jc w:val="center"/>
        <w:rPr>
          <w:rFonts w:asciiTheme="minorEastAsia" w:hAnsiTheme="minorEastAsia"/>
        </w:rPr>
      </w:pPr>
    </w:p>
    <w:p>
      <w:pPr>
        <w:jc w:val="center"/>
        <w:rPr>
          <w:rFonts w:asciiTheme="minorEastAsia" w:hAnsiTheme="minorEastAsia"/>
        </w:rPr>
      </w:pPr>
    </w:p>
    <w:p>
      <w:pPr>
        <w:jc w:val="center"/>
        <w:rPr>
          <w:rFonts w:asciiTheme="minorEastAsia" w:hAnsiTheme="minorEastAsia"/>
        </w:rPr>
      </w:pPr>
    </w:p>
    <w:p>
      <w:pPr>
        <w:jc w:val="center"/>
        <w:rPr>
          <w:rFonts w:asciiTheme="minorEastAsia" w:hAnsiTheme="minorEastAsia"/>
        </w:rPr>
      </w:pPr>
    </w:p>
    <w:p>
      <w:pPr>
        <w:jc w:val="center"/>
        <w:rPr>
          <w:rFonts w:asciiTheme="minorEastAsia" w:hAnsiTheme="minorEastAsia"/>
        </w:rPr>
      </w:pPr>
    </w:p>
    <w:p>
      <w:pPr>
        <w:jc w:val="left"/>
        <w:rPr>
          <w:rFonts w:asciiTheme="minorEastAsia" w:hAnsiTheme="minorEastAsia"/>
        </w:rPr>
      </w:pPr>
    </w:p>
    <w:p>
      <w:pPr>
        <w:jc w:val="left"/>
        <w:rPr>
          <w:rFonts w:asciiTheme="minorEastAsia" w:hAnsiTheme="minorEastAsia"/>
        </w:rPr>
      </w:pPr>
    </w:p>
    <w:p>
      <w:pPr>
        <w:jc w:val="left"/>
        <w:rPr>
          <w:rFonts w:asciiTheme="minorEastAsia" w:hAnsiTheme="minorEastAsia"/>
        </w:rPr>
      </w:pPr>
    </w:p>
    <w:p>
      <w:pPr>
        <w:jc w:val="left"/>
        <w:rPr>
          <w:rFonts w:asciiTheme="minorEastAsia" w:hAnsiTheme="minorEastAsia"/>
        </w:rPr>
      </w:pPr>
    </w:p>
    <w:p>
      <w:pPr>
        <w:ind w:firstLine="1600" w:firstLineChars="500"/>
        <w:jc w:val="left"/>
        <w:rPr>
          <w:rFonts w:asciiTheme="minorEastAsia" w:hAnsiTheme="minorEastAsia"/>
          <w:sz w:val="32"/>
          <w:szCs w:val="32"/>
        </w:rPr>
      </w:pPr>
      <w:r>
        <w:rPr>
          <w:rFonts w:hint="eastAsia" w:asciiTheme="minorEastAsia" w:hAnsiTheme="minorEastAsia"/>
          <w:sz w:val="32"/>
          <w:szCs w:val="32"/>
        </w:rPr>
        <w:t>编制单位：中科高盛咨询集团有限公司</w:t>
      </w:r>
    </w:p>
    <w:p>
      <w:pPr>
        <w:ind w:firstLine="1120" w:firstLineChars="350"/>
        <w:jc w:val="left"/>
        <w:rPr>
          <w:rFonts w:asciiTheme="minorEastAsia" w:hAnsiTheme="minorEastAsia"/>
          <w:sz w:val="32"/>
          <w:szCs w:val="32"/>
        </w:rPr>
      </w:pPr>
    </w:p>
    <w:p>
      <w:pPr>
        <w:ind w:firstLine="1120" w:firstLineChars="350"/>
        <w:jc w:val="left"/>
        <w:rPr>
          <w:rFonts w:asciiTheme="minorEastAsia" w:hAnsiTheme="minorEastAsia"/>
          <w:sz w:val="32"/>
          <w:szCs w:val="32"/>
        </w:rPr>
      </w:pPr>
    </w:p>
    <w:p>
      <w:pPr>
        <w:ind w:firstLine="1120" w:firstLineChars="350"/>
        <w:jc w:val="left"/>
        <w:rPr>
          <w:rFonts w:asciiTheme="minorEastAsia" w:hAnsiTheme="minorEastAsia"/>
          <w:sz w:val="32"/>
          <w:szCs w:val="32"/>
        </w:rPr>
      </w:pPr>
    </w:p>
    <w:p>
      <w:pPr>
        <w:ind w:firstLine="1120" w:firstLineChars="350"/>
        <w:jc w:val="left"/>
        <w:rPr>
          <w:rFonts w:asciiTheme="minorEastAsia" w:hAnsiTheme="minorEastAsia"/>
          <w:sz w:val="32"/>
          <w:szCs w:val="32"/>
        </w:rPr>
      </w:pPr>
    </w:p>
    <w:p>
      <w:pPr>
        <w:spacing w:line="360" w:lineRule="auto"/>
        <w:jc w:val="center"/>
        <w:rPr>
          <w:rFonts w:asciiTheme="minorEastAsia" w:hAnsiTheme="minorEastAsia"/>
          <w:sz w:val="44"/>
          <w:szCs w:val="44"/>
        </w:rPr>
      </w:pPr>
      <w:r>
        <w:rPr>
          <w:rFonts w:hint="eastAsia" w:ascii="宋体" w:hAnsi="宋体" w:eastAsia="宋体" w:cs="Times New Roman"/>
          <w:b/>
          <w:bCs/>
          <w:sz w:val="44"/>
          <w:szCs w:val="44"/>
        </w:rPr>
        <w:t>编 制 说 明</w:t>
      </w:r>
      <w:r>
        <w:rPr>
          <w:rFonts w:hint="eastAsia" w:ascii="宋体" w:hAnsi="宋体" w:eastAsia="宋体" w:cs="Times New Roman"/>
          <w:sz w:val="44"/>
          <w:szCs w:val="44"/>
        </w:rPr>
        <w:t xml:space="preserve"> </w:t>
      </w:r>
    </w:p>
    <w:p>
      <w:pPr>
        <w:spacing w:line="360" w:lineRule="auto"/>
        <w:jc w:val="center"/>
        <w:rPr>
          <w:rFonts w:ascii="宋体" w:hAnsi="宋体" w:eastAsia="宋体" w:cs="Times New Roman"/>
          <w:sz w:val="48"/>
          <w:szCs w:val="48"/>
        </w:rPr>
      </w:pPr>
      <w:r>
        <w:rPr>
          <w:rFonts w:hint="eastAsia" w:ascii="宋体" w:hAnsi="宋体" w:eastAsia="宋体" w:cs="Times New Roman"/>
          <w:sz w:val="48"/>
          <w:szCs w:val="48"/>
        </w:rPr>
        <w:t xml:space="preserve">                            </w:t>
      </w:r>
    </w:p>
    <w:p>
      <w:pPr>
        <w:pStyle w:val="5"/>
        <w:widowControl/>
        <w:numPr>
          <w:ilvl w:val="0"/>
          <w:numId w:val="1"/>
        </w:numPr>
        <w:spacing w:line="360" w:lineRule="auto"/>
        <w:ind w:firstLineChars="0"/>
        <w:jc w:val="left"/>
        <w:rPr>
          <w:rFonts w:ascii="宋体" w:hAnsi="宋体" w:eastAsia="宋体" w:cs="宋体"/>
          <w:kern w:val="0"/>
          <w:szCs w:val="21"/>
        </w:rPr>
      </w:pPr>
      <w:r>
        <w:rPr>
          <w:rFonts w:hint="eastAsia" w:ascii="宋体" w:hAnsi="宋体" w:eastAsia="宋体" w:cs="宋体"/>
          <w:b/>
          <w:bCs/>
          <w:szCs w:val="21"/>
        </w:rPr>
        <w:t>建设单位：</w:t>
      </w:r>
      <w:r>
        <w:rPr>
          <w:rFonts w:hint="eastAsia" w:cs="宋体" w:asciiTheme="minorEastAsia" w:hAnsiTheme="minorEastAsia"/>
          <w:kern w:val="0"/>
          <w:szCs w:val="21"/>
        </w:rPr>
        <w:t>东区住房和城乡建设局</w:t>
      </w:r>
      <w:r>
        <w:rPr>
          <w:rFonts w:ascii="宋体" w:hAnsi="宋体" w:eastAsia="宋体" w:cs="宋体"/>
          <w:kern w:val="0"/>
          <w:szCs w:val="21"/>
        </w:rPr>
        <w:t xml:space="preserve"> </w:t>
      </w:r>
    </w:p>
    <w:p>
      <w:pPr>
        <w:spacing w:line="360" w:lineRule="auto"/>
        <w:jc w:val="left"/>
        <w:rPr>
          <w:rFonts w:asciiTheme="minorEastAsia" w:hAnsiTheme="minorEastAsia"/>
          <w:szCs w:val="21"/>
        </w:rPr>
      </w:pPr>
      <w:r>
        <w:rPr>
          <w:rFonts w:hint="eastAsia" w:ascii="宋体" w:hAnsi="宋体" w:eastAsia="宋体" w:cs="宋体"/>
          <w:b/>
          <w:bCs/>
          <w:szCs w:val="21"/>
        </w:rPr>
        <w:t>二、受托单位：</w:t>
      </w:r>
      <w:r>
        <w:rPr>
          <w:rFonts w:hint="eastAsia" w:cs="宋体" w:asciiTheme="minorEastAsia" w:hAnsiTheme="minorEastAsia"/>
          <w:kern w:val="0"/>
          <w:szCs w:val="21"/>
        </w:rPr>
        <w:t>中科高盛咨询集团有限公司</w:t>
      </w:r>
    </w:p>
    <w:p>
      <w:pPr>
        <w:spacing w:line="360" w:lineRule="auto"/>
        <w:rPr>
          <w:rFonts w:cs="宋体" w:asciiTheme="minorEastAsia" w:hAnsiTheme="minorEastAsia"/>
          <w:kern w:val="0"/>
          <w:szCs w:val="21"/>
        </w:rPr>
      </w:pPr>
      <w:r>
        <w:rPr>
          <w:rFonts w:hint="eastAsia" w:ascii="宋体" w:hAnsi="宋体" w:eastAsia="宋体" w:cs="宋体"/>
          <w:b/>
          <w:bCs/>
          <w:szCs w:val="21"/>
        </w:rPr>
        <w:t>三、工程名称：</w:t>
      </w:r>
      <w:r>
        <w:rPr>
          <w:rFonts w:hint="eastAsia" w:cs="宋体" w:asciiTheme="minorEastAsia" w:hAnsiTheme="minorEastAsia"/>
          <w:kern w:val="0"/>
          <w:szCs w:val="21"/>
        </w:rPr>
        <w:t>东区24米以下道路路面提升改造“白改黑”工程（龙井街、彩虹街）</w:t>
      </w:r>
    </w:p>
    <w:p>
      <w:pPr>
        <w:spacing w:line="360" w:lineRule="auto"/>
        <w:jc w:val="left"/>
        <w:rPr>
          <w:rFonts w:cs="宋体" w:asciiTheme="minorEastAsia" w:hAnsiTheme="minorEastAsia"/>
          <w:szCs w:val="21"/>
        </w:rPr>
      </w:pPr>
      <w:r>
        <w:rPr>
          <w:rFonts w:hint="eastAsia" w:ascii="宋体" w:hAnsi="宋体" w:eastAsia="宋体" w:cs="宋体"/>
          <w:b/>
          <w:bCs/>
          <w:szCs w:val="21"/>
        </w:rPr>
        <w:t>四、报告定义：</w:t>
      </w:r>
      <w:r>
        <w:rPr>
          <w:rFonts w:hint="eastAsia" w:ascii="宋体" w:hAnsi="宋体" w:eastAsia="宋体" w:cs="宋体"/>
          <w:szCs w:val="21"/>
        </w:rPr>
        <w:t>中介预算</w:t>
      </w:r>
    </w:p>
    <w:p>
      <w:pPr>
        <w:spacing w:line="360" w:lineRule="auto"/>
        <w:rPr>
          <w:rFonts w:cs="宋体" w:asciiTheme="minorEastAsia" w:hAnsiTheme="minorEastAsia"/>
          <w:kern w:val="0"/>
          <w:szCs w:val="21"/>
        </w:rPr>
      </w:pPr>
      <w:r>
        <w:rPr>
          <w:rFonts w:hint="eastAsia" w:cs="宋体" w:asciiTheme="minorEastAsia" w:hAnsiTheme="minorEastAsia"/>
          <w:b/>
          <w:szCs w:val="21"/>
        </w:rPr>
        <w:t>五、工程概况：</w:t>
      </w:r>
      <w:r>
        <w:rPr>
          <w:rFonts w:hint="eastAsia" w:cs="宋体" w:asciiTheme="minorEastAsia" w:hAnsiTheme="minorEastAsia"/>
          <w:kern w:val="0"/>
          <w:szCs w:val="21"/>
        </w:rPr>
        <w:t>东区24米以下道路路面提升改造“白改黑”工程（龙井街、彩虹街）为东区改善该路段出行条件。项目共包括</w:t>
      </w:r>
      <w:r>
        <w:rPr>
          <w:rFonts w:hint="eastAsia" w:cs="宋体" w:asciiTheme="minorEastAsia" w:hAnsiTheme="minorEastAsia"/>
          <w:kern w:val="0"/>
          <w:szCs w:val="21"/>
          <w:lang w:val="en-US" w:eastAsia="zh-CN"/>
        </w:rPr>
        <w:t>2</w:t>
      </w:r>
      <w:r>
        <w:rPr>
          <w:rFonts w:hint="eastAsia" w:cs="宋体" w:asciiTheme="minorEastAsia" w:hAnsiTheme="minorEastAsia"/>
          <w:kern w:val="0"/>
          <w:szCs w:val="21"/>
        </w:rPr>
        <w:t>条道路，均为城市支线，其中</w:t>
      </w:r>
      <w:r>
        <w:rPr>
          <w:rFonts w:hint="eastAsia" w:cs="宋体" w:asciiTheme="minorEastAsia" w:hAnsiTheme="minorEastAsia"/>
          <w:kern w:val="0"/>
          <w:szCs w:val="21"/>
          <w:lang w:eastAsia="zh-CN"/>
        </w:rPr>
        <w:t>：</w:t>
      </w:r>
      <w:r>
        <w:rPr>
          <w:rFonts w:hint="eastAsia" w:cs="宋体" w:asciiTheme="minorEastAsia" w:hAnsiTheme="minorEastAsia"/>
          <w:kern w:val="0"/>
          <w:szCs w:val="21"/>
        </w:rPr>
        <w:t>龙井街北道路全长130.046米，行车道平均宽度8m，道路起点接孙文东路，终点接兴龙街；龙井街南道路全长237.182米，行车道宽度7m，人行道宽度3-4m，起点接兴龙街，终点接松苑路；彩虹街道路全长333.668米，行车道宽度7m，人行道平均宽度6m，道路起点接松苑路，终点接中山四路。</w:t>
      </w:r>
    </w:p>
    <w:p>
      <w:pPr>
        <w:spacing w:line="360" w:lineRule="auto"/>
        <w:ind w:firstLine="480"/>
        <w:rPr>
          <w:rFonts w:cs="宋体" w:asciiTheme="minorEastAsia" w:hAnsiTheme="minorEastAsia"/>
          <w:kern w:val="0"/>
          <w:szCs w:val="21"/>
        </w:rPr>
      </w:pPr>
      <w:r>
        <w:rPr>
          <w:rFonts w:hint="eastAsia" w:cs="宋体" w:asciiTheme="minorEastAsia" w:hAnsiTheme="minorEastAsia"/>
          <w:kern w:val="0"/>
          <w:szCs w:val="21"/>
        </w:rPr>
        <w:t>本工程主要内容为道路沥青混凝土工程，人行道工程，交通工程，排水改造工程。</w:t>
      </w:r>
    </w:p>
    <w:p>
      <w:pPr>
        <w:spacing w:line="360" w:lineRule="auto"/>
        <w:rPr>
          <w:rFonts w:ascii="宋体" w:hAnsi="宋体" w:eastAsia="宋体" w:cs="宋体"/>
          <w:b/>
          <w:bCs/>
          <w:szCs w:val="21"/>
        </w:rPr>
      </w:pPr>
      <w:r>
        <w:rPr>
          <w:rFonts w:hint="eastAsia" w:cs="宋体" w:asciiTheme="minorEastAsia" w:hAnsiTheme="minorEastAsia"/>
          <w:b/>
          <w:bCs/>
          <w:szCs w:val="21"/>
        </w:rPr>
        <w:t>六</w:t>
      </w:r>
      <w:r>
        <w:rPr>
          <w:rFonts w:hint="eastAsia" w:ascii="宋体" w:hAnsi="宋体" w:eastAsia="宋体" w:cs="宋体"/>
          <w:b/>
          <w:bCs/>
          <w:szCs w:val="21"/>
        </w:rPr>
        <w:t>、编制依据：</w:t>
      </w:r>
    </w:p>
    <w:p>
      <w:pPr>
        <w:numPr>
          <w:ilvl w:val="0"/>
          <w:numId w:val="2"/>
        </w:numPr>
        <w:tabs>
          <w:tab w:val="left" w:pos="720"/>
          <w:tab w:val="left" w:pos="1260"/>
          <w:tab w:val="left" w:pos="1440"/>
        </w:tabs>
        <w:adjustRightInd w:val="0"/>
        <w:spacing w:line="360" w:lineRule="auto"/>
        <w:rPr>
          <w:rFonts w:cs="宋体" w:asciiTheme="minorEastAsia" w:hAnsiTheme="minorEastAsia"/>
          <w:szCs w:val="21"/>
        </w:rPr>
      </w:pPr>
      <w:r>
        <w:rPr>
          <w:rFonts w:hint="eastAsia" w:ascii="宋体" w:hAnsi="宋体" w:eastAsia="宋体" w:cs="Times New Roman"/>
          <w:szCs w:val="21"/>
        </w:rPr>
        <w:t>本</w:t>
      </w:r>
      <w:r>
        <w:rPr>
          <w:rFonts w:hint="eastAsia" w:ascii="宋体" w:hAnsi="宋体" w:eastAsia="宋体" w:cs="宋体"/>
          <w:szCs w:val="21"/>
        </w:rPr>
        <w:t>预算执行《建设工程工程量清单计价规范》（GB50500-2013）、《广东省市政工程综合定额(201</w:t>
      </w:r>
      <w:r>
        <w:rPr>
          <w:rFonts w:hint="eastAsia" w:ascii="宋体" w:hAnsi="宋体" w:eastAsia="宋体" w:cs="宋体"/>
          <w:szCs w:val="21"/>
          <w:lang w:val="en-US" w:eastAsia="zh-CN"/>
        </w:rPr>
        <w:t>8</w:t>
      </w:r>
      <w:r>
        <w:rPr>
          <w:rFonts w:hint="eastAsia" w:ascii="宋体" w:hAnsi="宋体" w:eastAsia="宋体" w:cs="宋体"/>
          <w:szCs w:val="21"/>
        </w:rPr>
        <w:t>)》等建设工程计价依据；</w:t>
      </w:r>
    </w:p>
    <w:p>
      <w:pPr>
        <w:numPr>
          <w:ilvl w:val="0"/>
          <w:numId w:val="2"/>
        </w:numPr>
        <w:tabs>
          <w:tab w:val="left" w:pos="720"/>
          <w:tab w:val="left" w:pos="1260"/>
          <w:tab w:val="left" w:pos="1440"/>
        </w:tabs>
        <w:adjustRightInd w:val="0"/>
        <w:spacing w:line="360" w:lineRule="auto"/>
        <w:rPr>
          <w:rFonts w:ascii="宋体" w:hAnsi="宋体" w:eastAsia="宋体" w:cs="Times New Roman"/>
          <w:szCs w:val="21"/>
        </w:rPr>
      </w:pPr>
      <w:r>
        <w:rPr>
          <w:rFonts w:hint="eastAsia" w:ascii="宋体" w:hAnsi="宋体" w:eastAsia="宋体" w:cs="Times New Roman"/>
          <w:szCs w:val="21"/>
        </w:rPr>
        <w:t>本</w:t>
      </w:r>
      <w:r>
        <w:rPr>
          <w:rFonts w:hint="eastAsia" w:ascii="宋体" w:hAnsi="宋体" w:eastAsia="宋体" w:cs="宋体"/>
          <w:szCs w:val="21"/>
        </w:rPr>
        <w:t>预算</w:t>
      </w:r>
      <w:r>
        <w:rPr>
          <w:rFonts w:hint="eastAsia" w:ascii="宋体" w:hAnsi="宋体" w:eastAsia="宋体" w:cs="Times New Roman"/>
          <w:szCs w:val="21"/>
        </w:rPr>
        <w:t>绿色施工安全防护措施费收费标准按照《广东省市政工程综合定额(201</w:t>
      </w:r>
      <w:r>
        <w:rPr>
          <w:rFonts w:hint="eastAsia" w:ascii="宋体" w:hAnsi="宋体" w:eastAsia="宋体" w:cs="Times New Roman"/>
          <w:szCs w:val="21"/>
          <w:lang w:val="en-US" w:eastAsia="zh-CN"/>
        </w:rPr>
        <w:t>8</w:t>
      </w:r>
      <w:r>
        <w:rPr>
          <w:rFonts w:hint="eastAsia" w:ascii="宋体" w:hAnsi="宋体" w:eastAsia="宋体" w:cs="Times New Roman"/>
          <w:szCs w:val="21"/>
        </w:rPr>
        <w:t>)》等有关说明进行编制。绿色施工安全防护措施费按照分部分项工程的人工费与施工机具费之和的</w:t>
      </w:r>
      <w:r>
        <w:rPr>
          <w:rFonts w:hint="eastAsia" w:ascii="宋体" w:hAnsi="宋体" w:eastAsia="宋体" w:cs="Times New Roman"/>
          <w:szCs w:val="21"/>
          <w:lang w:val="en-US" w:eastAsia="zh-CN"/>
        </w:rPr>
        <w:t>16.5</w:t>
      </w:r>
      <w:r>
        <w:rPr>
          <w:rFonts w:hint="eastAsia" w:ascii="宋体" w:hAnsi="宋体" w:eastAsia="宋体" w:cs="Times New Roman"/>
          <w:szCs w:val="21"/>
        </w:rPr>
        <w:t>%计取。</w:t>
      </w:r>
    </w:p>
    <w:p>
      <w:pPr>
        <w:numPr>
          <w:ilvl w:val="0"/>
          <w:numId w:val="2"/>
        </w:numPr>
        <w:tabs>
          <w:tab w:val="left" w:pos="720"/>
          <w:tab w:val="left" w:pos="1260"/>
          <w:tab w:val="left" w:pos="1440"/>
        </w:tabs>
        <w:adjustRightInd w:val="0"/>
        <w:spacing w:line="360" w:lineRule="auto"/>
        <w:rPr>
          <w:rFonts w:ascii="宋体" w:hAnsi="宋体" w:eastAsia="宋体" w:cs="Times New Roman"/>
          <w:szCs w:val="21"/>
        </w:rPr>
      </w:pPr>
      <w:r>
        <w:rPr>
          <w:rFonts w:hint="eastAsia" w:ascii="宋体" w:hAnsi="宋体" w:eastAsia="宋体" w:cs="Times New Roman"/>
          <w:szCs w:val="21"/>
        </w:rPr>
        <w:t>本</w:t>
      </w:r>
      <w:r>
        <w:rPr>
          <w:rFonts w:hint="eastAsia" w:ascii="宋体" w:hAnsi="宋体" w:eastAsia="宋体" w:cs="宋体"/>
          <w:szCs w:val="21"/>
        </w:rPr>
        <w:t>预算按二类城市标准计算，税金</w:t>
      </w:r>
      <w:r>
        <w:rPr>
          <w:rFonts w:hint="eastAsia" w:cs="宋体" w:asciiTheme="minorEastAsia" w:hAnsiTheme="minorEastAsia"/>
          <w:szCs w:val="21"/>
        </w:rPr>
        <w:t>按照</w:t>
      </w:r>
      <w:r>
        <w:rPr>
          <w:rFonts w:hint="eastAsia" w:ascii="宋体" w:hAnsi="宋体" w:eastAsia="宋体" w:cs="宋体"/>
          <w:szCs w:val="21"/>
        </w:rPr>
        <w:t>建办标〔2018〕</w:t>
      </w:r>
      <w:r>
        <w:rPr>
          <w:rFonts w:hint="default" w:ascii="宋体" w:hAnsi="宋体" w:eastAsia="宋体" w:cs="宋体"/>
          <w:szCs w:val="21"/>
        </w:rPr>
        <w:t>20</w:t>
      </w:r>
      <w:r>
        <w:rPr>
          <w:rFonts w:hint="eastAsia" w:ascii="宋体" w:hAnsi="宋体" w:eastAsia="宋体" w:cs="宋体"/>
          <w:szCs w:val="21"/>
        </w:rPr>
        <w:t>号</w:t>
      </w:r>
      <w:r>
        <w:rPr>
          <w:rFonts w:hint="eastAsia" w:cs="宋体" w:asciiTheme="minorEastAsia" w:hAnsiTheme="minorEastAsia"/>
          <w:szCs w:val="21"/>
        </w:rPr>
        <w:t>文执行，增值税税率按</w:t>
      </w:r>
      <w:r>
        <w:rPr>
          <w:rFonts w:hint="eastAsia" w:ascii="宋体" w:hAnsi="宋体" w:eastAsia="宋体" w:cs="宋体"/>
          <w:szCs w:val="21"/>
          <w:lang w:val="en-US" w:eastAsia="zh-CN"/>
        </w:rPr>
        <w:t>9</w:t>
      </w:r>
      <w:r>
        <w:rPr>
          <w:rFonts w:hint="eastAsia" w:ascii="宋体" w:hAnsi="宋体" w:eastAsia="宋体" w:cs="宋体"/>
          <w:szCs w:val="21"/>
        </w:rPr>
        <w:t>%计取；预算包干费按分部分项的人工费与施工机具费之和的6%计算；</w:t>
      </w:r>
    </w:p>
    <w:p>
      <w:pPr>
        <w:numPr>
          <w:ilvl w:val="0"/>
          <w:numId w:val="2"/>
        </w:numPr>
        <w:tabs>
          <w:tab w:val="left" w:pos="720"/>
          <w:tab w:val="left" w:pos="1260"/>
          <w:tab w:val="left" w:pos="1440"/>
        </w:tabs>
        <w:adjustRightInd w:val="0"/>
        <w:spacing w:line="360" w:lineRule="auto"/>
        <w:rPr>
          <w:rFonts w:ascii="宋体" w:hAnsi="宋体" w:eastAsia="宋体" w:cs="Times New Roman"/>
          <w:szCs w:val="21"/>
        </w:rPr>
      </w:pPr>
      <w:r>
        <w:rPr>
          <w:rFonts w:hint="eastAsia" w:ascii="宋体" w:hAnsi="宋体" w:eastAsia="宋体" w:cs="宋体"/>
          <w:szCs w:val="21"/>
        </w:rPr>
        <w:t>主要</w:t>
      </w:r>
      <w:r>
        <w:rPr>
          <w:rFonts w:hint="eastAsia" w:ascii="宋体" w:hAnsi="宋体" w:eastAsia="宋体" w:cs="Times New Roman"/>
          <w:szCs w:val="21"/>
        </w:rPr>
        <w:t>材料价格参考中山市建设工程201</w:t>
      </w:r>
      <w:r>
        <w:rPr>
          <w:rFonts w:hint="eastAsia" w:ascii="宋体" w:hAnsi="宋体" w:eastAsia="宋体" w:cs="Times New Roman"/>
          <w:szCs w:val="21"/>
          <w:lang w:val="en-US" w:eastAsia="zh-CN"/>
        </w:rPr>
        <w:t>9</w:t>
      </w:r>
      <w:r>
        <w:rPr>
          <w:rFonts w:hint="eastAsia" w:ascii="宋体" w:hAnsi="宋体" w:eastAsia="宋体" w:cs="Times New Roman"/>
          <w:szCs w:val="21"/>
        </w:rPr>
        <w:t>年0</w:t>
      </w:r>
      <w:r>
        <w:rPr>
          <w:rFonts w:hint="eastAsia" w:ascii="宋体" w:hAnsi="宋体" w:eastAsia="宋体" w:cs="Times New Roman"/>
          <w:szCs w:val="21"/>
          <w:lang w:val="en-US" w:eastAsia="zh-CN"/>
        </w:rPr>
        <w:t>4</w:t>
      </w:r>
      <w:r>
        <w:rPr>
          <w:rFonts w:hint="eastAsia" w:ascii="宋体" w:hAnsi="宋体" w:eastAsia="宋体" w:cs="Times New Roman"/>
          <w:szCs w:val="21"/>
        </w:rPr>
        <w:t>月份发布的信息价，不足部分参考周边城市信息价及市场询价考虑；</w:t>
      </w:r>
    </w:p>
    <w:p>
      <w:pPr>
        <w:numPr>
          <w:ilvl w:val="0"/>
          <w:numId w:val="2"/>
        </w:numPr>
        <w:tabs>
          <w:tab w:val="left" w:pos="720"/>
          <w:tab w:val="left" w:pos="1260"/>
          <w:tab w:val="left" w:pos="1440"/>
        </w:tabs>
        <w:adjustRightInd w:val="0"/>
        <w:spacing w:line="360" w:lineRule="auto"/>
        <w:rPr>
          <w:rFonts w:ascii="宋体" w:hAnsi="宋体" w:eastAsia="宋体" w:cs="宋体"/>
          <w:szCs w:val="21"/>
        </w:rPr>
      </w:pPr>
      <w:r>
        <w:rPr>
          <w:rFonts w:hint="eastAsia" w:ascii="宋体" w:hAnsi="宋体" w:eastAsia="宋体" w:cs="Times New Roman"/>
          <w:szCs w:val="21"/>
        </w:rPr>
        <w:t>本</w:t>
      </w:r>
      <w:r>
        <w:rPr>
          <w:rFonts w:hint="eastAsia" w:ascii="宋体" w:hAnsi="宋体" w:eastAsia="宋体" w:cs="宋体"/>
          <w:szCs w:val="21"/>
        </w:rPr>
        <w:t>预算</w:t>
      </w:r>
      <w:r>
        <w:rPr>
          <w:rFonts w:hint="eastAsia" w:ascii="宋体" w:hAnsi="宋体" w:eastAsia="宋体" w:cs="Times New Roman"/>
          <w:szCs w:val="21"/>
        </w:rPr>
        <w:t>按照惠州市广业市政工程设计有限公司设计的《</w:t>
      </w:r>
      <w:r>
        <w:rPr>
          <w:rFonts w:hint="eastAsia" w:cs="宋体" w:asciiTheme="minorEastAsia" w:hAnsiTheme="minorEastAsia"/>
          <w:kern w:val="0"/>
          <w:szCs w:val="21"/>
        </w:rPr>
        <w:t>东区24米以下道路路面提升改造“白改黑”工程（龙井街、彩虹街）》施工图设计（设计工程编号20180904）</w:t>
      </w:r>
      <w:r>
        <w:rPr>
          <w:rFonts w:hint="eastAsia" w:ascii="宋体" w:hAnsi="宋体" w:eastAsia="宋体" w:cs="Times New Roman"/>
          <w:szCs w:val="21"/>
        </w:rPr>
        <w:t>进行编制；</w:t>
      </w:r>
    </w:p>
    <w:p>
      <w:pPr>
        <w:pStyle w:val="5"/>
        <w:numPr>
          <w:ilvl w:val="0"/>
          <w:numId w:val="3"/>
        </w:numPr>
        <w:tabs>
          <w:tab w:val="left" w:pos="425"/>
          <w:tab w:val="left" w:pos="720"/>
          <w:tab w:val="left" w:pos="1260"/>
          <w:tab w:val="left" w:pos="1440"/>
        </w:tabs>
        <w:adjustRightInd w:val="0"/>
        <w:spacing w:line="360" w:lineRule="auto"/>
        <w:ind w:firstLineChars="0"/>
        <w:rPr>
          <w:rFonts w:ascii="宋体" w:hAnsi="宋体" w:eastAsia="宋体" w:cs="宋体"/>
          <w:b/>
          <w:szCs w:val="21"/>
        </w:rPr>
      </w:pPr>
      <w:r>
        <w:rPr>
          <w:rFonts w:hint="eastAsia" w:ascii="宋体" w:hAnsi="宋体" w:eastAsia="宋体" w:cs="宋体"/>
          <w:b/>
          <w:szCs w:val="21"/>
        </w:rPr>
        <w:t>主要情况说明：</w:t>
      </w:r>
    </w:p>
    <w:p>
      <w:pPr>
        <w:numPr>
          <w:ilvl w:val="0"/>
          <w:numId w:val="4"/>
        </w:numPr>
        <w:tabs>
          <w:tab w:val="left" w:pos="720"/>
          <w:tab w:val="left" w:pos="1260"/>
          <w:tab w:val="left" w:pos="1440"/>
        </w:tabs>
        <w:adjustRightInd w:val="0"/>
        <w:spacing w:line="360" w:lineRule="auto"/>
        <w:rPr>
          <w:rFonts w:ascii="宋体" w:hAnsi="宋体" w:eastAsia="宋体" w:cs="宋体"/>
          <w:szCs w:val="21"/>
        </w:rPr>
      </w:pPr>
      <w:r>
        <w:rPr>
          <w:rFonts w:hint="eastAsia" w:ascii="宋体" w:hAnsi="宋体" w:eastAsia="宋体" w:cs="宋体"/>
          <w:szCs w:val="21"/>
        </w:rPr>
        <w:t>本预算土石方外运按10km考虑；</w:t>
      </w:r>
    </w:p>
    <w:p>
      <w:pPr>
        <w:numPr>
          <w:ilvl w:val="0"/>
          <w:numId w:val="4"/>
        </w:numPr>
        <w:tabs>
          <w:tab w:val="left" w:pos="720"/>
          <w:tab w:val="left" w:pos="1260"/>
          <w:tab w:val="left" w:pos="1440"/>
        </w:tabs>
        <w:adjustRightInd w:val="0"/>
        <w:spacing w:line="360" w:lineRule="auto"/>
        <w:rPr>
          <w:rFonts w:ascii="宋体" w:hAnsi="宋体" w:eastAsia="宋体" w:cs="宋体"/>
          <w:szCs w:val="21"/>
        </w:rPr>
      </w:pPr>
      <w:r>
        <w:rPr>
          <w:rFonts w:hint="eastAsia" w:ascii="宋体" w:hAnsi="宋体" w:eastAsia="宋体" w:cs="宋体"/>
          <w:szCs w:val="21"/>
        </w:rPr>
        <w:t>铣刨旧混凝土路面按照均厚1cm考虑；</w:t>
      </w:r>
    </w:p>
    <w:p>
      <w:pPr>
        <w:numPr>
          <w:ilvl w:val="0"/>
          <w:numId w:val="4"/>
        </w:numPr>
        <w:tabs>
          <w:tab w:val="left" w:pos="720"/>
          <w:tab w:val="left" w:pos="1260"/>
          <w:tab w:val="left" w:pos="1440"/>
        </w:tabs>
        <w:adjustRightInd w:val="0"/>
        <w:spacing w:line="360" w:lineRule="auto"/>
        <w:rPr>
          <w:rFonts w:ascii="宋体" w:hAnsi="宋体" w:eastAsia="宋体" w:cs="宋体"/>
          <w:szCs w:val="21"/>
        </w:rPr>
      </w:pPr>
      <w:r>
        <w:rPr>
          <w:rFonts w:hint="eastAsia" w:ascii="宋体" w:hAnsi="宋体" w:eastAsia="宋体" w:cs="宋体"/>
          <w:szCs w:val="21"/>
        </w:rPr>
        <w:t>路面病害处理暂按</w:t>
      </w:r>
      <w:r>
        <w:rPr>
          <w:rFonts w:hint="eastAsia" w:ascii="宋体" w:hAnsi="宋体" w:eastAsia="宋体" w:cs="宋体"/>
          <w:szCs w:val="21"/>
          <w:lang w:val="en-US" w:eastAsia="zh-CN"/>
        </w:rPr>
        <w:t>2</w:t>
      </w:r>
      <w:r>
        <w:rPr>
          <w:rFonts w:hint="eastAsia" w:ascii="宋体" w:hAnsi="宋体" w:eastAsia="宋体" w:cs="宋体"/>
          <w:szCs w:val="21"/>
        </w:rPr>
        <w:t>00元/</w:t>
      </w:r>
      <w:r>
        <w:rPr>
          <w:rFonts w:hint="eastAsia" w:ascii="宋体" w:hAnsi="宋体" w:eastAsia="宋体" w:cs="宋体"/>
          <w:szCs w:val="21"/>
          <w:lang w:val="en-US" w:eastAsia="zh-CN"/>
        </w:rPr>
        <w:t>m2</w:t>
      </w:r>
      <w:r>
        <w:rPr>
          <w:rFonts w:hint="eastAsia" w:ascii="宋体" w:hAnsi="宋体" w:eastAsia="宋体" w:cs="宋体"/>
          <w:szCs w:val="21"/>
        </w:rPr>
        <w:t>计算，底板脱空灌浆稳板暂按</w:t>
      </w:r>
      <w:r>
        <w:rPr>
          <w:rFonts w:hint="eastAsia" w:ascii="宋体" w:hAnsi="宋体" w:eastAsia="宋体" w:cs="宋体"/>
          <w:szCs w:val="21"/>
          <w:lang w:val="en-US" w:eastAsia="zh-CN"/>
        </w:rPr>
        <w:t>5</w:t>
      </w:r>
      <w:r>
        <w:rPr>
          <w:rFonts w:hint="eastAsia" w:ascii="宋体" w:hAnsi="宋体" w:eastAsia="宋体" w:cs="宋体"/>
          <w:szCs w:val="21"/>
        </w:rPr>
        <w:t>0元/</w:t>
      </w:r>
      <w:r>
        <w:rPr>
          <w:rFonts w:hint="eastAsia" w:ascii="宋体" w:hAnsi="宋体" w:eastAsia="宋体" w:cs="宋体"/>
          <w:szCs w:val="21"/>
          <w:lang w:val="en-US" w:eastAsia="zh-CN"/>
        </w:rPr>
        <w:t>m2</w:t>
      </w:r>
      <w:r>
        <w:rPr>
          <w:rFonts w:hint="eastAsia" w:ascii="宋体" w:hAnsi="宋体" w:eastAsia="宋体" w:cs="宋体"/>
          <w:szCs w:val="21"/>
        </w:rPr>
        <w:t>计算，防坠网暂按20元/座计算；</w:t>
      </w:r>
    </w:p>
    <w:p>
      <w:pPr>
        <w:numPr>
          <w:ilvl w:val="0"/>
          <w:numId w:val="4"/>
        </w:numPr>
        <w:tabs>
          <w:tab w:val="left" w:pos="720"/>
          <w:tab w:val="left" w:pos="1260"/>
          <w:tab w:val="left" w:pos="1440"/>
        </w:tabs>
        <w:adjustRightInd w:val="0"/>
        <w:spacing w:line="360" w:lineRule="auto"/>
        <w:rPr>
          <w:rFonts w:ascii="宋体" w:hAnsi="宋体" w:eastAsia="宋体" w:cs="宋体"/>
          <w:szCs w:val="21"/>
        </w:rPr>
      </w:pPr>
      <w:r>
        <w:rPr>
          <w:rFonts w:hint="eastAsia" w:ascii="宋体" w:hAnsi="宋体" w:eastAsia="宋体" w:cs="宋体"/>
          <w:szCs w:val="21"/>
        </w:rPr>
        <w:t>未尽事宜详见工程量清单，并以建设单位书面答疑文件为准。</w:t>
      </w:r>
    </w:p>
    <w:p>
      <w:pPr>
        <w:numPr>
          <w:ilvl w:val="0"/>
          <w:numId w:val="5"/>
        </w:numPr>
        <w:spacing w:line="360" w:lineRule="auto"/>
        <w:rPr>
          <w:rFonts w:hint="eastAsia" w:ascii="宋体" w:hAnsi="宋体" w:eastAsia="宋体" w:cs="宋体"/>
          <w:szCs w:val="21"/>
        </w:rPr>
      </w:pPr>
      <w:r>
        <w:rPr>
          <w:rFonts w:hint="eastAsia" w:ascii="宋体" w:hAnsi="宋体" w:eastAsia="宋体" w:cs="宋体"/>
          <w:szCs w:val="21"/>
        </w:rPr>
        <w:t>本工程含税总造价为</w:t>
      </w:r>
      <w:r>
        <w:rPr>
          <w:rFonts w:hint="eastAsia" w:ascii="宋体" w:hAnsi="宋体" w:eastAsia="宋体" w:cs="宋体"/>
          <w:b/>
          <w:szCs w:val="21"/>
          <w:lang w:val="en-US" w:eastAsia="zh-CN"/>
        </w:rPr>
        <w:t>3213643.79</w:t>
      </w:r>
      <w:r>
        <w:rPr>
          <w:rFonts w:hint="eastAsia" w:ascii="宋体" w:hAnsi="宋体" w:eastAsia="宋体" w:cs="宋体"/>
          <w:szCs w:val="21"/>
        </w:rPr>
        <w:t>元，其中不含税</w:t>
      </w:r>
      <w:r>
        <w:rPr>
          <w:rFonts w:hint="eastAsia" w:ascii="宋体" w:hAnsi="宋体" w:eastAsia="宋体" w:cs="Times New Roman"/>
          <w:szCs w:val="21"/>
        </w:rPr>
        <w:t>绿色施工安全防护措施</w:t>
      </w:r>
      <w:r>
        <w:rPr>
          <w:rFonts w:hint="eastAsia" w:ascii="宋体" w:hAnsi="宋体" w:eastAsia="宋体" w:cs="宋体"/>
          <w:szCs w:val="21"/>
        </w:rPr>
        <w:t>费为</w:t>
      </w:r>
      <w:r>
        <w:rPr>
          <w:rFonts w:hint="eastAsia" w:ascii="宋体" w:hAnsi="宋体" w:eastAsia="宋体" w:cs="宋体"/>
          <w:b/>
          <w:szCs w:val="21"/>
        </w:rPr>
        <w:t>99861.72</w:t>
      </w:r>
      <w:r>
        <w:rPr>
          <w:rFonts w:hint="eastAsia" w:ascii="宋体" w:hAnsi="宋体" w:eastAsia="宋体" w:cs="宋体"/>
          <w:szCs w:val="21"/>
        </w:rPr>
        <w:t>元。各单位工程造价详见下表</w:t>
      </w:r>
      <w:r>
        <w:rPr>
          <w:rFonts w:hint="eastAsia" w:cs="宋体" w:asciiTheme="minorEastAsia" w:hAnsiTheme="minorEastAsia"/>
          <w:kern w:val="0"/>
          <w:szCs w:val="21"/>
        </w:rPr>
        <w:t>：</w:t>
      </w:r>
    </w:p>
    <w:tbl>
      <w:tblPr>
        <w:tblStyle w:val="3"/>
        <w:tblW w:w="93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686"/>
        <w:gridCol w:w="2126"/>
        <w:gridCol w:w="1985"/>
        <w:gridCol w:w="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675" w:type="dxa"/>
            <w:vAlign w:val="center"/>
          </w:tcPr>
          <w:p>
            <w:pPr>
              <w:spacing w:line="360" w:lineRule="auto"/>
              <w:jc w:val="center"/>
              <w:rPr>
                <w:rFonts w:ascii="宋体" w:hAnsi="宋体" w:eastAsia="宋体" w:cs="宋体"/>
                <w:b/>
                <w:szCs w:val="21"/>
              </w:rPr>
            </w:pPr>
            <w:r>
              <w:rPr>
                <w:rFonts w:hint="eastAsia" w:ascii="宋体" w:hAnsi="宋体" w:eastAsia="宋体" w:cs="宋体"/>
                <w:b/>
                <w:szCs w:val="21"/>
              </w:rPr>
              <w:t>序号</w:t>
            </w:r>
          </w:p>
        </w:tc>
        <w:tc>
          <w:tcPr>
            <w:tcW w:w="3686" w:type="dxa"/>
            <w:vAlign w:val="center"/>
          </w:tcPr>
          <w:p>
            <w:pPr>
              <w:spacing w:line="360" w:lineRule="auto"/>
              <w:jc w:val="center"/>
              <w:rPr>
                <w:rFonts w:ascii="宋体" w:hAnsi="宋体" w:eastAsia="宋体" w:cs="宋体"/>
                <w:b/>
                <w:szCs w:val="21"/>
              </w:rPr>
            </w:pPr>
            <w:r>
              <w:rPr>
                <w:rFonts w:hint="eastAsia" w:ascii="宋体" w:hAnsi="宋体" w:eastAsia="宋体" w:cs="宋体"/>
                <w:b/>
                <w:szCs w:val="21"/>
              </w:rPr>
              <w:t>单位工程</w:t>
            </w:r>
          </w:p>
        </w:tc>
        <w:tc>
          <w:tcPr>
            <w:tcW w:w="2126" w:type="dxa"/>
            <w:vAlign w:val="center"/>
          </w:tcPr>
          <w:p>
            <w:pPr>
              <w:spacing w:line="360" w:lineRule="auto"/>
              <w:jc w:val="center"/>
              <w:rPr>
                <w:rFonts w:ascii="宋体" w:hAnsi="宋体" w:eastAsia="宋体" w:cs="宋体"/>
                <w:b/>
                <w:szCs w:val="21"/>
              </w:rPr>
            </w:pPr>
            <w:r>
              <w:rPr>
                <w:rFonts w:hint="eastAsia" w:ascii="宋体" w:hAnsi="宋体" w:eastAsia="宋体" w:cs="宋体"/>
                <w:b/>
                <w:szCs w:val="21"/>
              </w:rPr>
              <w:t>含税总造价（元）</w:t>
            </w:r>
          </w:p>
        </w:tc>
        <w:tc>
          <w:tcPr>
            <w:tcW w:w="1985" w:type="dxa"/>
            <w:vAlign w:val="center"/>
          </w:tcPr>
          <w:p>
            <w:pPr>
              <w:spacing w:line="360" w:lineRule="auto"/>
              <w:jc w:val="center"/>
              <w:rPr>
                <w:rFonts w:ascii="宋体" w:hAnsi="宋体" w:eastAsia="宋体" w:cs="宋体"/>
                <w:b/>
                <w:szCs w:val="21"/>
              </w:rPr>
            </w:pPr>
            <w:r>
              <w:rPr>
                <w:rFonts w:hint="eastAsia" w:ascii="宋体" w:hAnsi="宋体" w:eastAsia="宋体" w:cs="宋体"/>
                <w:b/>
                <w:szCs w:val="21"/>
              </w:rPr>
              <w:t>其中绿色施工安全防护措施费（不含税）</w:t>
            </w:r>
          </w:p>
        </w:tc>
        <w:tc>
          <w:tcPr>
            <w:tcW w:w="832" w:type="dxa"/>
            <w:vAlign w:val="center"/>
          </w:tcPr>
          <w:p>
            <w:pPr>
              <w:spacing w:line="360" w:lineRule="auto"/>
              <w:jc w:val="center"/>
              <w:rPr>
                <w:rFonts w:ascii="宋体" w:hAnsi="宋体" w:eastAsia="宋体" w:cs="宋体"/>
                <w:b/>
                <w:szCs w:val="21"/>
              </w:rPr>
            </w:pPr>
            <w:r>
              <w:rPr>
                <w:rFonts w:hint="eastAsia" w:ascii="宋体" w:hAnsi="宋体" w:eastAsia="宋体" w:cs="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hint="eastAsia" w:ascii="宋体" w:hAnsi="宋体" w:eastAsia="宋体" w:cs="宋体"/>
                <w:b/>
                <w:szCs w:val="21"/>
                <w:lang w:eastAsia="zh-CN"/>
              </w:rPr>
            </w:pPr>
            <w:r>
              <w:rPr>
                <w:rFonts w:hint="eastAsia" w:ascii="宋体" w:hAnsi="宋体" w:eastAsia="宋体" w:cs="宋体"/>
                <w:b/>
                <w:szCs w:val="21"/>
                <w:lang w:val="en-US" w:eastAsia="zh-CN"/>
              </w:rPr>
              <w:t>1</w:t>
            </w:r>
          </w:p>
        </w:tc>
        <w:tc>
          <w:tcPr>
            <w:tcW w:w="3686" w:type="dxa"/>
            <w:vAlign w:val="center"/>
          </w:tcPr>
          <w:p>
            <w:pPr>
              <w:jc w:val="center"/>
              <w:rPr>
                <w:rFonts w:ascii="宋体" w:hAnsi="宋体" w:eastAsia="宋体" w:cs="宋体"/>
                <w:color w:val="000000"/>
                <w:szCs w:val="21"/>
              </w:rPr>
            </w:pPr>
            <w:r>
              <w:rPr>
                <w:rFonts w:hint="eastAsia"/>
                <w:color w:val="000000"/>
                <w:szCs w:val="21"/>
              </w:rPr>
              <w:t>龙井街</w:t>
            </w:r>
            <w:r>
              <w:rPr>
                <w:rFonts w:hint="eastAsia"/>
                <w:color w:val="000000"/>
                <w:szCs w:val="21"/>
                <w:lang w:eastAsia="zh-CN"/>
              </w:rPr>
              <w:t>南</w:t>
            </w:r>
            <w:r>
              <w:rPr>
                <w:rFonts w:hint="eastAsia"/>
                <w:color w:val="000000"/>
                <w:szCs w:val="21"/>
              </w:rPr>
              <w:t>路面提升改造“白改黑”工程</w:t>
            </w:r>
          </w:p>
        </w:tc>
        <w:tc>
          <w:tcPr>
            <w:tcW w:w="2126" w:type="dxa"/>
            <w:vAlign w:val="center"/>
          </w:tcPr>
          <w:p>
            <w:pPr>
              <w:jc w:val="center"/>
              <w:rPr>
                <w:rFonts w:cs="宋体" w:asciiTheme="minorEastAsia" w:hAnsiTheme="minorEastAsia"/>
                <w:color w:val="000000"/>
                <w:szCs w:val="21"/>
              </w:rPr>
            </w:pPr>
            <w:r>
              <w:rPr>
                <w:rFonts w:hint="eastAsia" w:asciiTheme="minorEastAsia" w:hAnsiTheme="minorEastAsia"/>
                <w:color w:val="000000"/>
                <w:szCs w:val="21"/>
              </w:rPr>
              <w:t>1036501.67</w:t>
            </w:r>
          </w:p>
        </w:tc>
        <w:tc>
          <w:tcPr>
            <w:tcW w:w="1985" w:type="dxa"/>
            <w:vAlign w:val="center"/>
          </w:tcPr>
          <w:p>
            <w:pPr>
              <w:jc w:val="center"/>
              <w:rPr>
                <w:rFonts w:asciiTheme="minorEastAsia" w:hAnsiTheme="minorEastAsia"/>
                <w:color w:val="000000"/>
                <w:szCs w:val="21"/>
              </w:rPr>
            </w:pPr>
            <w:r>
              <w:rPr>
                <w:rFonts w:hint="eastAsia" w:asciiTheme="minorEastAsia" w:hAnsiTheme="minorEastAsia"/>
                <w:color w:val="000000"/>
                <w:szCs w:val="21"/>
              </w:rPr>
              <w:t>30372.36</w:t>
            </w:r>
          </w:p>
        </w:tc>
        <w:tc>
          <w:tcPr>
            <w:tcW w:w="832" w:type="dxa"/>
            <w:vAlign w:val="center"/>
          </w:tcPr>
          <w:p>
            <w:pPr>
              <w:spacing w:line="360" w:lineRule="auto"/>
              <w:jc w:val="center"/>
              <w:rPr>
                <w:rFonts w:ascii="宋体" w:hAnsi="宋体" w:eastAsia="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hint="eastAsia" w:ascii="宋体" w:hAnsi="宋体" w:eastAsia="宋体" w:cs="宋体"/>
                <w:b/>
                <w:szCs w:val="21"/>
                <w:lang w:eastAsia="zh-CN"/>
              </w:rPr>
            </w:pPr>
            <w:r>
              <w:rPr>
                <w:rFonts w:hint="eastAsia" w:ascii="宋体" w:hAnsi="宋体" w:eastAsia="宋体" w:cs="宋体"/>
                <w:b/>
                <w:szCs w:val="21"/>
                <w:lang w:val="en-US" w:eastAsia="zh-CN"/>
              </w:rPr>
              <w:t>2</w:t>
            </w:r>
          </w:p>
        </w:tc>
        <w:tc>
          <w:tcPr>
            <w:tcW w:w="3686" w:type="dxa"/>
            <w:vAlign w:val="center"/>
          </w:tcPr>
          <w:p>
            <w:pPr>
              <w:jc w:val="center"/>
              <w:rPr>
                <w:rFonts w:ascii="宋体" w:hAnsi="宋体" w:eastAsia="宋体" w:cs="宋体"/>
                <w:color w:val="000000"/>
                <w:szCs w:val="21"/>
              </w:rPr>
            </w:pPr>
            <w:r>
              <w:rPr>
                <w:rFonts w:hint="eastAsia"/>
                <w:color w:val="000000"/>
                <w:szCs w:val="21"/>
              </w:rPr>
              <w:t>龙井街</w:t>
            </w:r>
            <w:r>
              <w:rPr>
                <w:rFonts w:hint="eastAsia"/>
                <w:color w:val="000000"/>
                <w:szCs w:val="21"/>
                <w:lang w:eastAsia="zh-CN"/>
              </w:rPr>
              <w:t>北</w:t>
            </w:r>
            <w:r>
              <w:rPr>
                <w:rFonts w:hint="eastAsia"/>
                <w:color w:val="000000"/>
                <w:szCs w:val="21"/>
              </w:rPr>
              <w:t>路面提升改造“白改黑”工程</w:t>
            </w:r>
          </w:p>
        </w:tc>
        <w:tc>
          <w:tcPr>
            <w:tcW w:w="2126" w:type="dxa"/>
            <w:vAlign w:val="center"/>
          </w:tcPr>
          <w:p>
            <w:pPr>
              <w:jc w:val="center"/>
              <w:rPr>
                <w:rFonts w:cs="宋体" w:asciiTheme="minorEastAsia" w:hAnsiTheme="minorEastAsia"/>
                <w:color w:val="000000"/>
                <w:szCs w:val="21"/>
              </w:rPr>
            </w:pPr>
            <w:r>
              <w:rPr>
                <w:rFonts w:hint="eastAsia" w:asciiTheme="minorEastAsia" w:hAnsiTheme="minorEastAsia"/>
                <w:color w:val="000000"/>
                <w:szCs w:val="21"/>
              </w:rPr>
              <w:t>283369.97</w:t>
            </w:r>
          </w:p>
        </w:tc>
        <w:tc>
          <w:tcPr>
            <w:tcW w:w="1985" w:type="dxa"/>
            <w:vAlign w:val="center"/>
          </w:tcPr>
          <w:p>
            <w:pPr>
              <w:jc w:val="center"/>
              <w:rPr>
                <w:rFonts w:asciiTheme="minorEastAsia" w:hAnsiTheme="minorEastAsia"/>
                <w:color w:val="000000"/>
                <w:szCs w:val="21"/>
              </w:rPr>
            </w:pPr>
            <w:r>
              <w:rPr>
                <w:rFonts w:hint="eastAsia" w:asciiTheme="minorEastAsia" w:hAnsiTheme="minorEastAsia"/>
                <w:color w:val="000000"/>
                <w:szCs w:val="21"/>
              </w:rPr>
              <w:t>6777.28</w:t>
            </w:r>
          </w:p>
        </w:tc>
        <w:tc>
          <w:tcPr>
            <w:tcW w:w="832" w:type="dxa"/>
            <w:vAlign w:val="center"/>
          </w:tcPr>
          <w:p>
            <w:pPr>
              <w:spacing w:line="360" w:lineRule="auto"/>
              <w:jc w:val="center"/>
              <w:rPr>
                <w:rFonts w:ascii="宋体" w:hAnsi="宋体" w:eastAsia="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hint="eastAsia" w:ascii="宋体" w:hAnsi="宋体" w:eastAsia="宋体" w:cs="宋体"/>
                <w:b/>
                <w:szCs w:val="21"/>
                <w:lang w:eastAsia="zh-CN"/>
              </w:rPr>
            </w:pPr>
            <w:r>
              <w:rPr>
                <w:rFonts w:hint="eastAsia" w:ascii="宋体" w:hAnsi="宋体" w:eastAsia="宋体" w:cs="宋体"/>
                <w:b/>
                <w:szCs w:val="21"/>
                <w:lang w:val="en-US" w:eastAsia="zh-CN"/>
              </w:rPr>
              <w:t>3</w:t>
            </w:r>
          </w:p>
        </w:tc>
        <w:tc>
          <w:tcPr>
            <w:tcW w:w="3686" w:type="dxa"/>
            <w:vAlign w:val="center"/>
          </w:tcPr>
          <w:p>
            <w:pPr>
              <w:jc w:val="center"/>
              <w:rPr>
                <w:rFonts w:ascii="宋体" w:hAnsi="宋体" w:eastAsia="宋体" w:cs="宋体"/>
                <w:color w:val="000000"/>
                <w:szCs w:val="21"/>
              </w:rPr>
            </w:pPr>
            <w:r>
              <w:rPr>
                <w:rFonts w:hint="eastAsia"/>
                <w:color w:val="000000"/>
                <w:szCs w:val="21"/>
              </w:rPr>
              <w:t>彩虹街路面提升改造“白改黑”工程</w:t>
            </w:r>
          </w:p>
        </w:tc>
        <w:tc>
          <w:tcPr>
            <w:tcW w:w="2126" w:type="dxa"/>
            <w:vAlign w:val="center"/>
          </w:tcPr>
          <w:p>
            <w:pPr>
              <w:jc w:val="center"/>
              <w:rPr>
                <w:rFonts w:cs="宋体" w:asciiTheme="minorEastAsia" w:hAnsiTheme="minorEastAsia"/>
                <w:color w:val="000000"/>
                <w:szCs w:val="21"/>
              </w:rPr>
            </w:pPr>
            <w:r>
              <w:rPr>
                <w:rFonts w:hint="eastAsia" w:asciiTheme="minorEastAsia" w:hAnsiTheme="minorEastAsia"/>
                <w:color w:val="000000"/>
                <w:szCs w:val="21"/>
              </w:rPr>
              <w:t>1893772.15</w:t>
            </w:r>
          </w:p>
        </w:tc>
        <w:tc>
          <w:tcPr>
            <w:tcW w:w="1985" w:type="dxa"/>
            <w:vAlign w:val="center"/>
          </w:tcPr>
          <w:p>
            <w:pPr>
              <w:jc w:val="center"/>
              <w:rPr>
                <w:rFonts w:asciiTheme="minorEastAsia" w:hAnsiTheme="minorEastAsia"/>
                <w:color w:val="000000"/>
                <w:szCs w:val="21"/>
              </w:rPr>
            </w:pPr>
            <w:r>
              <w:rPr>
                <w:rFonts w:hint="eastAsia" w:asciiTheme="minorEastAsia" w:hAnsiTheme="minorEastAsia"/>
                <w:color w:val="000000"/>
                <w:szCs w:val="21"/>
              </w:rPr>
              <w:t>62712.08</w:t>
            </w:r>
          </w:p>
        </w:tc>
        <w:tc>
          <w:tcPr>
            <w:tcW w:w="832" w:type="dxa"/>
            <w:vAlign w:val="center"/>
          </w:tcPr>
          <w:p>
            <w:pPr>
              <w:spacing w:line="360" w:lineRule="auto"/>
              <w:jc w:val="center"/>
              <w:rPr>
                <w:rFonts w:ascii="宋体" w:hAnsi="宋体" w:eastAsia="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宋体" w:hAnsi="宋体" w:eastAsia="宋体" w:cs="宋体"/>
                <w:b/>
                <w:szCs w:val="21"/>
              </w:rPr>
            </w:pPr>
          </w:p>
        </w:tc>
        <w:tc>
          <w:tcPr>
            <w:tcW w:w="3686" w:type="dxa"/>
            <w:vAlign w:val="center"/>
          </w:tcPr>
          <w:p>
            <w:pPr>
              <w:spacing w:line="360" w:lineRule="auto"/>
              <w:jc w:val="center"/>
              <w:rPr>
                <w:rFonts w:ascii="宋体" w:hAnsi="宋体" w:eastAsia="宋体" w:cs="宋体"/>
                <w:b/>
                <w:szCs w:val="21"/>
              </w:rPr>
            </w:pPr>
            <w:r>
              <w:rPr>
                <w:rFonts w:hint="eastAsia" w:ascii="宋体" w:hAnsi="宋体" w:eastAsia="宋体" w:cs="宋体"/>
                <w:b/>
                <w:szCs w:val="21"/>
              </w:rPr>
              <w:t>总价合计</w:t>
            </w:r>
          </w:p>
        </w:tc>
        <w:tc>
          <w:tcPr>
            <w:tcW w:w="2126" w:type="dxa"/>
            <w:vAlign w:val="center"/>
          </w:tcPr>
          <w:p>
            <w:pPr>
              <w:jc w:val="center"/>
              <w:rPr>
                <w:rFonts w:cs="宋体" w:asciiTheme="minorEastAsia" w:hAnsiTheme="minorEastAsia"/>
                <w:b/>
                <w:color w:val="000000"/>
                <w:szCs w:val="21"/>
              </w:rPr>
            </w:pPr>
            <w:r>
              <w:rPr>
                <w:rFonts w:hint="eastAsia" w:cs="宋体" w:asciiTheme="minorEastAsia" w:hAnsiTheme="minorEastAsia"/>
                <w:b/>
                <w:color w:val="000000"/>
                <w:szCs w:val="21"/>
              </w:rPr>
              <w:t>3213643.79</w:t>
            </w:r>
          </w:p>
        </w:tc>
        <w:tc>
          <w:tcPr>
            <w:tcW w:w="1985" w:type="dxa"/>
            <w:vAlign w:val="center"/>
          </w:tcPr>
          <w:p>
            <w:pPr>
              <w:jc w:val="center"/>
              <w:rPr>
                <w:rFonts w:asciiTheme="minorEastAsia" w:hAnsiTheme="minorEastAsia"/>
                <w:b/>
                <w:color w:val="000000"/>
                <w:szCs w:val="21"/>
              </w:rPr>
            </w:pPr>
            <w:r>
              <w:rPr>
                <w:rFonts w:hint="eastAsia" w:asciiTheme="minorEastAsia" w:hAnsiTheme="minorEastAsia"/>
                <w:b/>
                <w:color w:val="000000"/>
                <w:szCs w:val="21"/>
              </w:rPr>
              <w:t>99861.72</w:t>
            </w:r>
          </w:p>
        </w:tc>
        <w:tc>
          <w:tcPr>
            <w:tcW w:w="832" w:type="dxa"/>
            <w:vAlign w:val="center"/>
          </w:tcPr>
          <w:p>
            <w:pPr>
              <w:spacing w:line="360" w:lineRule="auto"/>
              <w:jc w:val="center"/>
              <w:rPr>
                <w:rFonts w:ascii="宋体" w:hAnsi="宋体" w:eastAsia="宋体" w:cs="宋体"/>
                <w:b/>
                <w:szCs w:val="21"/>
              </w:rPr>
            </w:pPr>
          </w:p>
        </w:tc>
      </w:tr>
    </w:tbl>
    <w:p>
      <w:pPr>
        <w:spacing w:line="360" w:lineRule="auto"/>
        <w:rPr>
          <w:rFonts w:ascii="宋体" w:hAnsi="宋体" w:eastAsia="宋体" w:cs="宋体"/>
          <w:b/>
          <w:szCs w:val="21"/>
        </w:rPr>
      </w:pPr>
    </w:p>
    <w:p>
      <w:pPr>
        <w:spacing w:line="360" w:lineRule="auto"/>
        <w:rPr>
          <w:rFonts w:ascii="宋体" w:hAnsi="宋体" w:eastAsia="宋体" w:cs="宋体"/>
          <w:b/>
          <w:szCs w:val="21"/>
        </w:rPr>
      </w:pPr>
      <w:r>
        <w:rPr>
          <w:rFonts w:hint="eastAsia" w:ascii="宋体" w:hAnsi="宋体" w:eastAsia="宋体" w:cs="宋体"/>
          <w:b/>
          <w:szCs w:val="21"/>
        </w:rPr>
        <w:t>编制单位资质证号：</w:t>
      </w:r>
    </w:p>
    <w:p>
      <w:pPr>
        <w:spacing w:line="360" w:lineRule="auto"/>
        <w:rPr>
          <w:rFonts w:hint="eastAsia" w:ascii="宋体" w:hAnsi="宋体" w:eastAsia="宋体" w:cs="宋体"/>
          <w:b/>
          <w:szCs w:val="21"/>
        </w:rPr>
      </w:pPr>
    </w:p>
    <w:p>
      <w:pPr>
        <w:spacing w:line="360" w:lineRule="auto"/>
        <w:rPr>
          <w:rFonts w:ascii="宋体" w:hAnsi="宋体" w:eastAsia="宋体" w:cs="宋体"/>
          <w:b/>
          <w:szCs w:val="21"/>
        </w:rPr>
      </w:pPr>
    </w:p>
    <w:p>
      <w:pPr>
        <w:spacing w:line="360" w:lineRule="auto"/>
        <w:rPr>
          <w:rFonts w:ascii="宋体" w:hAnsi="宋体" w:eastAsia="宋体" w:cs="宋体"/>
          <w:b/>
          <w:szCs w:val="21"/>
        </w:rPr>
      </w:pPr>
      <w:r>
        <w:rPr>
          <w:rFonts w:hint="eastAsia" w:ascii="宋体" w:hAnsi="宋体" w:eastAsia="宋体" w:cs="宋体"/>
          <w:b/>
          <w:szCs w:val="21"/>
        </w:rPr>
        <w:t>编制人：（签名盖章）</w:t>
      </w:r>
    </w:p>
    <w:p>
      <w:pPr>
        <w:spacing w:line="360" w:lineRule="auto"/>
        <w:rPr>
          <w:rFonts w:ascii="宋体" w:hAnsi="宋体" w:eastAsia="宋体" w:cs="宋体"/>
          <w:b/>
          <w:szCs w:val="21"/>
        </w:rPr>
      </w:pPr>
    </w:p>
    <w:p>
      <w:pPr>
        <w:spacing w:line="360" w:lineRule="auto"/>
        <w:rPr>
          <w:rFonts w:ascii="宋体" w:hAnsi="宋体" w:eastAsia="宋体" w:cs="宋体"/>
          <w:b/>
          <w:szCs w:val="21"/>
        </w:rPr>
      </w:pPr>
      <w:r>
        <w:rPr>
          <w:rFonts w:hint="eastAsia" w:ascii="宋体" w:hAnsi="宋体" w:eastAsia="宋体" w:cs="宋体"/>
          <w:b/>
          <w:szCs w:val="21"/>
        </w:rPr>
        <w:t>复核人：（签名盖章）</w:t>
      </w:r>
    </w:p>
    <w:p>
      <w:pPr>
        <w:spacing w:line="360" w:lineRule="auto"/>
        <w:rPr>
          <w:rFonts w:ascii="宋体" w:hAnsi="宋体" w:eastAsia="宋体" w:cs="宋体"/>
          <w:b/>
          <w:szCs w:val="21"/>
        </w:rPr>
      </w:pPr>
    </w:p>
    <w:p>
      <w:pPr>
        <w:spacing w:line="360" w:lineRule="auto"/>
        <w:rPr>
          <w:rFonts w:ascii="宋体" w:hAnsi="宋体" w:eastAsia="宋体" w:cs="宋体"/>
          <w:b/>
          <w:szCs w:val="21"/>
        </w:rPr>
      </w:pPr>
      <w:r>
        <w:rPr>
          <w:rFonts w:hint="eastAsia" w:ascii="宋体" w:hAnsi="宋体" w:eastAsia="宋体" w:cs="宋体"/>
          <w:b/>
          <w:szCs w:val="21"/>
        </w:rPr>
        <w:t>批准人：（签名盖章）</w:t>
      </w:r>
    </w:p>
    <w:p>
      <w:pPr>
        <w:spacing w:line="360" w:lineRule="auto"/>
        <w:rPr>
          <w:rFonts w:ascii="宋体" w:hAnsi="宋体" w:eastAsia="宋体" w:cs="宋体"/>
          <w:b/>
          <w:szCs w:val="21"/>
        </w:rPr>
      </w:pPr>
    </w:p>
    <w:p>
      <w:pPr>
        <w:numPr>
          <w:ilvl w:val="0"/>
          <w:numId w:val="5"/>
        </w:numPr>
        <w:spacing w:line="360" w:lineRule="auto"/>
        <w:rPr>
          <w:rFonts w:ascii="宋体" w:hAnsi="宋体" w:eastAsia="宋体" w:cs="宋体"/>
          <w:b/>
          <w:szCs w:val="21"/>
        </w:rPr>
      </w:pPr>
      <w:r>
        <w:rPr>
          <w:rFonts w:hint="eastAsia" w:ascii="宋体" w:hAnsi="宋体" w:eastAsia="宋体" w:cs="宋体"/>
          <w:b/>
          <w:szCs w:val="21"/>
        </w:rPr>
        <w:t>编制日期： 201</w:t>
      </w:r>
      <w:r>
        <w:rPr>
          <w:rFonts w:hint="eastAsia" w:ascii="宋体" w:hAnsi="宋体" w:eastAsia="宋体" w:cs="宋体"/>
          <w:b/>
          <w:szCs w:val="21"/>
          <w:lang w:val="en-US" w:eastAsia="zh-CN"/>
        </w:rPr>
        <w:t>9</w:t>
      </w:r>
      <w:r>
        <w:rPr>
          <w:rFonts w:hint="eastAsia" w:ascii="宋体" w:hAnsi="宋体" w:eastAsia="宋体" w:cs="宋体"/>
          <w:b/>
          <w:szCs w:val="21"/>
        </w:rPr>
        <w:t xml:space="preserve"> 年 0</w:t>
      </w:r>
      <w:r>
        <w:rPr>
          <w:rFonts w:hint="eastAsia" w:ascii="宋体" w:hAnsi="宋体" w:eastAsia="宋体" w:cs="宋体"/>
          <w:b/>
          <w:szCs w:val="21"/>
          <w:lang w:val="en-US" w:eastAsia="zh-CN"/>
        </w:rPr>
        <w:t>5</w:t>
      </w:r>
      <w:r>
        <w:rPr>
          <w:rFonts w:hint="eastAsia" w:ascii="宋体" w:hAnsi="宋体" w:eastAsia="宋体" w:cs="宋体"/>
          <w:b/>
          <w:szCs w:val="21"/>
        </w:rPr>
        <w:t>月2</w:t>
      </w:r>
      <w:r>
        <w:rPr>
          <w:rFonts w:hint="eastAsia" w:ascii="宋体" w:hAnsi="宋体" w:eastAsia="宋体" w:cs="宋体"/>
          <w:b/>
          <w:szCs w:val="21"/>
          <w:lang w:val="en-US" w:eastAsia="zh-CN"/>
        </w:rPr>
        <w:t>2</w:t>
      </w:r>
      <w:r>
        <w:rPr>
          <w:rFonts w:hint="eastAsia" w:ascii="宋体" w:hAnsi="宋体" w:eastAsia="宋体" w:cs="宋体"/>
          <w:b/>
          <w:szCs w:val="21"/>
        </w:rPr>
        <w:t xml:space="preserve"> 日</w:t>
      </w:r>
    </w:p>
    <w:p>
      <w:pPr>
        <w:ind w:firstLine="735" w:firstLineChars="350"/>
        <w:jc w:val="left"/>
        <w:rPr>
          <w:rFonts w:asciiTheme="minorEastAsia" w:hAnsiTheme="minorEastAsia"/>
          <w:szCs w:val="21"/>
        </w:rPr>
      </w:pPr>
      <w:bookmarkStart w:id="0" w:name="_GoBack"/>
      <w:bookmarkEnd w:id="0"/>
    </w:p>
    <w:sectPr>
      <w:pgSz w:w="11906" w:h="16838"/>
      <w:pgMar w:top="1440" w:right="56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00474"/>
    <w:multiLevelType w:val="multilevel"/>
    <w:tmpl w:val="1DC00474"/>
    <w:lvl w:ilvl="0" w:tentative="0">
      <w:start w:val="1"/>
      <w:numFmt w:val="japaneseCounting"/>
      <w:lvlText w:val="%1、"/>
      <w:lvlJc w:val="left"/>
      <w:pPr>
        <w:ind w:left="450" w:hanging="45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B2C213D"/>
    <w:multiLevelType w:val="multilevel"/>
    <w:tmpl w:val="4B2C213D"/>
    <w:lvl w:ilvl="0" w:tentative="0">
      <w:start w:val="7"/>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5769C4D"/>
    <w:multiLevelType w:val="singleLevel"/>
    <w:tmpl w:val="55769C4D"/>
    <w:lvl w:ilvl="0" w:tentative="0">
      <w:start w:val="1"/>
      <w:numFmt w:val="decimal"/>
      <w:lvlText w:val="%1."/>
      <w:lvlJc w:val="left"/>
      <w:pPr>
        <w:tabs>
          <w:tab w:val="left" w:pos="425"/>
        </w:tabs>
        <w:ind w:left="425" w:hanging="425"/>
      </w:pPr>
      <w:rPr>
        <w:rFonts w:hint="default"/>
      </w:rPr>
    </w:lvl>
  </w:abstractNum>
  <w:abstractNum w:abstractNumId="3">
    <w:nsid w:val="574ECD31"/>
    <w:multiLevelType w:val="singleLevel"/>
    <w:tmpl w:val="574ECD31"/>
    <w:lvl w:ilvl="0" w:tentative="0">
      <w:start w:val="1"/>
      <w:numFmt w:val="decimal"/>
      <w:lvlText w:val="%1."/>
      <w:lvlJc w:val="left"/>
      <w:pPr>
        <w:tabs>
          <w:tab w:val="left" w:pos="425"/>
        </w:tabs>
        <w:ind w:left="425" w:hanging="425"/>
      </w:pPr>
      <w:rPr>
        <w:rFonts w:hint="default"/>
      </w:rPr>
    </w:lvl>
  </w:abstractNum>
  <w:abstractNum w:abstractNumId="4">
    <w:nsid w:val="57E10A35"/>
    <w:multiLevelType w:val="singleLevel"/>
    <w:tmpl w:val="57E10A35"/>
    <w:lvl w:ilvl="0" w:tentative="0">
      <w:start w:val="8"/>
      <w:numFmt w:val="chineseCounting"/>
      <w:suff w:val="nothing"/>
      <w:lvlText w:val="%1、"/>
      <w:lvlJc w:val="left"/>
    </w:lvl>
  </w:abstractNum>
  <w:num w:numId="1">
    <w:abstractNumId w:val="0"/>
  </w:num>
  <w:num w:numId="2">
    <w:abstractNumId w:val="2"/>
    <w:lvlOverride w:ilvl="0">
      <w:startOverride w:val="1"/>
    </w:lvlOverride>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A40A9"/>
    <w:rsid w:val="0002109E"/>
    <w:rsid w:val="000214CA"/>
    <w:rsid w:val="00024FD1"/>
    <w:rsid w:val="003D6454"/>
    <w:rsid w:val="004871DE"/>
    <w:rsid w:val="00512796"/>
    <w:rsid w:val="005949CF"/>
    <w:rsid w:val="00616191"/>
    <w:rsid w:val="006251DB"/>
    <w:rsid w:val="00796954"/>
    <w:rsid w:val="00885408"/>
    <w:rsid w:val="00916603"/>
    <w:rsid w:val="00953212"/>
    <w:rsid w:val="009D5CAD"/>
    <w:rsid w:val="00A923A7"/>
    <w:rsid w:val="00BD73B8"/>
    <w:rsid w:val="00BE3CA0"/>
    <w:rsid w:val="00CD33FA"/>
    <w:rsid w:val="00D24FAB"/>
    <w:rsid w:val="00D254DA"/>
    <w:rsid w:val="00D746D9"/>
    <w:rsid w:val="00D974A1"/>
    <w:rsid w:val="00E11E0D"/>
    <w:rsid w:val="00E94435"/>
    <w:rsid w:val="00FA40A9"/>
    <w:rsid w:val="00FD5017"/>
    <w:rsid w:val="03F370EA"/>
    <w:rsid w:val="0CBF5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 w:type="table" w:styleId="3">
    <w:name w:val="Table Grid"/>
    <w:basedOn w:val="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265</Words>
  <Characters>1511</Characters>
  <Lines>12</Lines>
  <Paragraphs>3</Paragraphs>
  <TotalTime>6</TotalTime>
  <ScaleCrop>false</ScaleCrop>
  <LinksUpToDate>false</LinksUpToDate>
  <CharactersWithSpaces>1773</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2018-09-26T02:40:00Z</dcterms:created>
  <dc:creator>Administrator</dc:creator>
  <cp:lastModifiedBy>Administrator</cp:lastModifiedBy>
  <dcterms:modified xsi:type="dcterms:W3CDTF">2019-05-23T08:20:43Z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